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rPr>
          <w:rFonts w:hint="eastAsia" w:eastAsia="宋体"/>
          <w:color w:val="000000"/>
          <w:sz w:val="32"/>
          <w:lang w:eastAsia="zh-CN"/>
        </w:rPr>
      </w:pPr>
      <w:r>
        <w:rPr>
          <w:rFonts w:hint="eastAsia"/>
          <w:color w:val="000000"/>
          <w:sz w:val="32"/>
        </w:rPr>
        <w:t>西华大学“专升本”</w:t>
      </w:r>
      <w:r>
        <w:rPr>
          <w:rFonts w:hint="eastAsia"/>
          <w:color w:val="000000"/>
          <w:sz w:val="32"/>
          <w:lang w:eastAsia="zh-CN"/>
        </w:rPr>
        <w:t>考核办法通知</w:t>
      </w:r>
    </w:p>
    <w:p>
      <w:pPr>
        <w:pStyle w:val="2"/>
        <w:spacing w:line="500" w:lineRule="exact"/>
        <w:rPr>
          <w:rFonts w:hint="eastAsia"/>
          <w:color w:val="000000"/>
          <w:sz w:val="32"/>
        </w:rPr>
      </w:pP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根据四川省教育厅川教函[2018]178号文《四川省教育厅关于2018普通高等学校选拔优秀专科毕业生进入本科阶段学习的通知》的精神，经西华大学与</w:t>
      </w:r>
      <w:r>
        <w:rPr>
          <w:rFonts w:hint="eastAsia" w:ascii="宋体" w:hAnsi="宋体"/>
          <w:color w:val="000000"/>
          <w:sz w:val="28"/>
          <w:szCs w:val="28"/>
          <w:lang w:eastAsia="zh-CN"/>
        </w:rPr>
        <w:t>四川科技职业</w:t>
      </w:r>
      <w:r>
        <w:rPr>
          <w:rFonts w:hint="eastAsia" w:ascii="宋体" w:hAnsi="宋体"/>
          <w:color w:val="000000"/>
          <w:sz w:val="28"/>
          <w:szCs w:val="28"/>
        </w:rPr>
        <w:t>学院共同协商，决定2018年开展跨校“专升本”工作。</w:t>
      </w:r>
      <w:r>
        <w:rPr>
          <w:rFonts w:hint="eastAsia" w:ascii="宋体" w:hAnsi="宋体"/>
          <w:color w:val="000000"/>
          <w:sz w:val="28"/>
          <w:szCs w:val="28"/>
          <w:lang w:eastAsia="zh-CN"/>
        </w:rPr>
        <w:t>四川科技职业</w:t>
      </w:r>
      <w:r>
        <w:rPr>
          <w:rFonts w:hint="eastAsia" w:ascii="宋体" w:hAnsi="宋体"/>
          <w:color w:val="000000"/>
          <w:sz w:val="28"/>
          <w:szCs w:val="28"/>
        </w:rPr>
        <w:t>学院2018届专科毕业学生通过选拔可以升入西华大学相同或相近的本科专业三年级学习。</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一、选拔基本条件</w:t>
      </w:r>
      <w:bookmarkStart w:id="0" w:name="_GoBack"/>
      <w:bookmarkEnd w:id="0"/>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1．在校期间政治思想表现优秀，未受到任何纪律处分。</w:t>
      </w:r>
    </w:p>
    <w:p>
      <w:pPr>
        <w:spacing w:line="500" w:lineRule="exact"/>
        <w:rPr>
          <w:rFonts w:hint="eastAsia" w:ascii="宋体" w:hAnsi="宋体"/>
          <w:color w:val="000000"/>
          <w:sz w:val="28"/>
          <w:szCs w:val="28"/>
        </w:rPr>
      </w:pPr>
      <w:r>
        <w:rPr>
          <w:rFonts w:hint="eastAsia" w:ascii="宋体" w:hAnsi="宋体"/>
          <w:color w:val="000000"/>
          <w:sz w:val="28"/>
          <w:szCs w:val="28"/>
        </w:rPr>
        <w:t>　　2．学习成绩优秀。全日制普通专科应届毕业生（以获得教育部电子注册的专科毕业证为准），未因成绩原因受过学籍处理。</w:t>
      </w:r>
    </w:p>
    <w:p>
      <w:pPr>
        <w:spacing w:line="500" w:lineRule="exact"/>
        <w:rPr>
          <w:rFonts w:hint="eastAsia" w:ascii="宋体" w:hAnsi="宋体"/>
          <w:color w:val="000000"/>
          <w:sz w:val="28"/>
          <w:szCs w:val="28"/>
        </w:rPr>
      </w:pPr>
      <w:r>
        <w:rPr>
          <w:rFonts w:hint="eastAsia" w:ascii="宋体" w:hAnsi="宋体"/>
          <w:color w:val="000000"/>
          <w:sz w:val="28"/>
          <w:szCs w:val="28"/>
        </w:rPr>
        <w:t>　　3．身心健康。</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同时符合以上三项条件的</w:t>
      </w:r>
      <w:r>
        <w:rPr>
          <w:rFonts w:hint="eastAsia" w:ascii="宋体" w:hAnsi="宋体"/>
          <w:color w:val="000000"/>
          <w:sz w:val="28"/>
          <w:szCs w:val="28"/>
          <w:lang w:eastAsia="zh-CN"/>
        </w:rPr>
        <w:t>四川科技职业</w:t>
      </w:r>
      <w:r>
        <w:rPr>
          <w:rFonts w:hint="eastAsia" w:ascii="宋体" w:hAnsi="宋体"/>
          <w:color w:val="000000"/>
          <w:sz w:val="28"/>
          <w:szCs w:val="28"/>
        </w:rPr>
        <w:t>学院2018届应届普通高职高专毕业学生可以申请跨校专升本。</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二、选拔程序及录取</w:t>
      </w:r>
    </w:p>
    <w:p>
      <w:pPr>
        <w:spacing w:line="500" w:lineRule="exact"/>
        <w:ind w:firstLine="600"/>
        <w:rPr>
          <w:rFonts w:hint="eastAsia" w:ascii="宋体" w:hAnsi="宋体"/>
          <w:color w:val="000000"/>
          <w:sz w:val="28"/>
          <w:szCs w:val="28"/>
        </w:rPr>
      </w:pPr>
      <w:r>
        <w:rPr>
          <w:rFonts w:hint="eastAsia" w:ascii="宋体" w:hAnsi="宋体"/>
          <w:color w:val="000000"/>
          <w:sz w:val="28"/>
          <w:szCs w:val="28"/>
        </w:rPr>
        <w:t>（一）免试推荐</w:t>
      </w:r>
    </w:p>
    <w:p>
      <w:pPr>
        <w:spacing w:line="500" w:lineRule="exact"/>
        <w:ind w:firstLine="600"/>
        <w:rPr>
          <w:rFonts w:hint="eastAsia" w:ascii="宋体" w:hAnsi="宋体"/>
          <w:color w:val="000000"/>
          <w:sz w:val="28"/>
          <w:szCs w:val="28"/>
        </w:rPr>
      </w:pPr>
      <w:r>
        <w:rPr>
          <w:rFonts w:hint="eastAsia" w:ascii="宋体" w:hAnsi="宋体"/>
          <w:color w:val="000000"/>
          <w:sz w:val="28"/>
          <w:szCs w:val="28"/>
        </w:rPr>
        <w:t>对入伍并获三等功以上奖励的人员，按照国家有关文件实行免试录取。免试推荐升入本科阶段学习的预录取名单，5月18日前在学校张榜公示无异议后，确定上报四川省教育厅高教处审批学生名单，经省教育厅审核同意后在秋季开学时升入本科相同或相近专业三年级学习。</w:t>
      </w:r>
    </w:p>
    <w:p>
      <w:pPr>
        <w:spacing w:line="500" w:lineRule="exact"/>
        <w:ind w:firstLine="600"/>
        <w:rPr>
          <w:rFonts w:hint="eastAsia" w:ascii="宋体" w:hAnsi="宋体"/>
          <w:color w:val="000000"/>
          <w:sz w:val="28"/>
          <w:szCs w:val="28"/>
        </w:rPr>
      </w:pPr>
      <w:r>
        <w:rPr>
          <w:rFonts w:hint="eastAsia" w:ascii="宋体" w:hAnsi="宋体"/>
          <w:color w:val="000000"/>
          <w:sz w:val="28"/>
          <w:szCs w:val="28"/>
        </w:rPr>
        <w:t>（二）考试选拔</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1．2018届专科毕业学生（免试推荐除外）申请专升本，必须参加西华大学组织的“专升本”考试。凡符合选拔条件的学生由          学院负责审核，经审查合格后于5月10日前将参加“专升本”考试的考生名单及报名考试费交西华大学教务处（同时，将按第3条计算的专科阶段成绩（占20%部分）和符合奖励加分条件的有关证件的原件和复印件报西华大学教务处审核）。</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2．专升本考试科目及时间安排</w:t>
      </w: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341"/>
        <w:gridCol w:w="180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3" w:hRule="atLeast"/>
        </w:trPr>
        <w:tc>
          <w:tcPr>
            <w:tcW w:w="3528" w:type="dxa"/>
            <w:gridSpan w:val="2"/>
            <w:vAlign w:val="center"/>
          </w:tcPr>
          <w:p>
            <w:pPr>
              <w:spacing w:line="500" w:lineRule="exact"/>
              <w:jc w:val="center"/>
              <w:rPr>
                <w:rFonts w:hint="eastAsia" w:ascii="宋体" w:hAnsi="宋体"/>
                <w:color w:val="000000"/>
                <w:sz w:val="24"/>
              </w:rPr>
            </w:pPr>
            <w:r>
              <w:rPr>
                <w:rFonts w:hint="eastAsia" w:ascii="宋体" w:hAnsi="宋体"/>
                <w:color w:val="000000"/>
                <w:sz w:val="24"/>
              </w:rPr>
              <mc:AlternateContent>
                <mc:Choice Requires="wps">
                  <w:drawing>
                    <wp:anchor distT="0" distB="0" distL="114300" distR="114300" simplePos="0" relativeHeight="251658240" behindDoc="0" locked="0" layoutInCell="1" allowOverlap="1">
                      <wp:simplePos x="0" y="0"/>
                      <wp:positionH relativeFrom="column">
                        <wp:posOffset>1145540</wp:posOffset>
                      </wp:positionH>
                      <wp:positionV relativeFrom="paragraph">
                        <wp:posOffset>-3810</wp:posOffset>
                      </wp:positionV>
                      <wp:extent cx="1027430" cy="940435"/>
                      <wp:effectExtent l="3175" t="3810" r="17145" b="8255"/>
                      <wp:wrapNone/>
                      <wp:docPr id="2" name="直接连接符 2"/>
                      <wp:cNvGraphicFramePr/>
                      <a:graphic xmlns:a="http://schemas.openxmlformats.org/drawingml/2006/main">
                        <a:graphicData uri="http://schemas.microsoft.com/office/word/2010/wordprocessingShape">
                          <wps:wsp>
                            <wps:cNvCnPr/>
                            <wps:spPr>
                              <a:xfrm>
                                <a:off x="0" y="0"/>
                                <a:ext cx="1027430" cy="9404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2pt;margin-top:-0.3pt;height:74.05pt;width:80.9pt;z-index:251658240;mso-width-relative:page;mso-height-relative:page;" filled="f" stroked="t" coordsize="21600,21600" o:gfxdata="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ArSj9cAAAAJAQAADwAA&#10;AAAAAAABACAAAAAiAAAAZHJzL2Rvd25yZXYueG1sUEsBAhQAFAAAAAgAh07iQEc1m6TeAQAAmwMA&#10;AA4AAAAAAAAAAQAgAAAAJgEAAGRycy9lMm9Eb2MueG1sUEsFBgAAAAAGAAYAWQEAAHYFAAAAAA==&#10;">
                      <v:fill on="f" focussize="0,0"/>
                      <v:stroke color="#000000" joinstyle="round"/>
                      <v:imagedata o:title=""/>
                      <o:lock v:ext="edit" aspectratio="f"/>
                    </v:line>
                  </w:pict>
                </mc:Fallback>
              </mc:AlternateContent>
            </w:r>
            <w:r>
              <w:rPr>
                <w:rFonts w:hint="eastAsia" w:ascii="宋体"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45085</wp:posOffset>
                      </wp:positionV>
                      <wp:extent cx="2171700" cy="891540"/>
                      <wp:effectExtent l="1905" t="4445" r="17145" b="18415"/>
                      <wp:wrapNone/>
                      <wp:docPr id="1" name="直接连接符 1"/>
                      <wp:cNvGraphicFramePr/>
                      <a:graphic xmlns:a="http://schemas.openxmlformats.org/drawingml/2006/main">
                        <a:graphicData uri="http://schemas.microsoft.com/office/word/2010/wordprocessingShape">
                          <wps:wsp>
                            <wps:cNvCnPr/>
                            <wps:spPr>
                              <a:xfrm>
                                <a:off x="0" y="0"/>
                                <a:ext cx="2171700" cy="891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3.55pt;height:70.2pt;width:171pt;z-index:251659264;mso-width-relative:page;mso-height-relative:page;" filled="f" stroked="t" coordsize="21600,21600" o:gfxdata="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hteMDTAAAABgEAAA8AAAAA&#10;AAAAAQAgAAAAIgAAAGRycy9kb3ducmV2LnhtbFBLAQIUABQAAAAIAIdO4kDDXmJp4AEAAJsDAAAO&#10;AAAAAAAAAAEAIAAAACIBAABkcnMvZTJvRG9jLnhtbFBLBQYAAAAABgAGAFkBAAB0BQAAAAA=&#10;">
                      <v:fill on="f" focussize="0,0"/>
                      <v:stroke color="#000000" joinstyle="round"/>
                      <v:imagedata o:title=""/>
                      <o:lock v:ext="edit" aspectratio="f"/>
                    </v:line>
                  </w:pict>
                </mc:Fallback>
              </mc:AlternateContent>
            </w:r>
            <w:r>
              <w:rPr>
                <w:rFonts w:hint="eastAsia" w:ascii="宋体" w:hAnsi="宋体"/>
                <w:color w:val="000000"/>
                <w:sz w:val="24"/>
              </w:rPr>
              <w:t>　　  考试科目　　 考试时间</w:t>
            </w:r>
          </w:p>
          <w:p>
            <w:pPr>
              <w:spacing w:line="500" w:lineRule="exact"/>
              <w:rPr>
                <w:rFonts w:hint="eastAsia" w:ascii="宋体" w:hAnsi="宋体"/>
                <w:color w:val="000000"/>
                <w:sz w:val="24"/>
              </w:rPr>
            </w:pPr>
            <w:r>
              <w:rPr>
                <w:rFonts w:hint="eastAsia" w:ascii="宋体" w:hAnsi="宋体"/>
                <w:color w:val="000000"/>
                <w:sz w:val="24"/>
              </w:rPr>
              <w:t>考生</w:t>
            </w:r>
          </w:p>
          <w:p>
            <w:pPr>
              <w:spacing w:line="500" w:lineRule="exact"/>
              <w:rPr>
                <w:rFonts w:hint="eastAsia" w:ascii="宋体" w:hAnsi="宋体"/>
                <w:color w:val="000000"/>
                <w:sz w:val="24"/>
              </w:rPr>
            </w:pPr>
            <w:r>
              <w:rPr>
                <w:rFonts w:hint="eastAsia" w:ascii="宋体" w:hAnsi="宋体"/>
                <w:color w:val="000000"/>
                <w:sz w:val="24"/>
              </w:rPr>
              <w:t>类别</w:t>
            </w:r>
          </w:p>
        </w:tc>
        <w:tc>
          <w:tcPr>
            <w:tcW w:w="1800" w:type="dxa"/>
            <w:vAlign w:val="center"/>
          </w:tcPr>
          <w:p>
            <w:pPr>
              <w:widowControl/>
              <w:spacing w:line="500" w:lineRule="exact"/>
              <w:jc w:val="center"/>
              <w:rPr>
                <w:rFonts w:hint="eastAsia" w:ascii="宋体" w:hAnsi="宋体"/>
                <w:color w:val="000000"/>
                <w:sz w:val="24"/>
              </w:rPr>
            </w:pPr>
            <w:r>
              <w:rPr>
                <w:rFonts w:hint="eastAsia" w:ascii="宋体" w:hAnsi="宋体"/>
                <w:color w:val="000000"/>
                <w:sz w:val="24"/>
              </w:rPr>
              <w:t>5月26日9:00-11:00</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5月26日</w:t>
            </w:r>
          </w:p>
          <w:p>
            <w:pPr>
              <w:widowControl/>
              <w:spacing w:line="500" w:lineRule="exact"/>
              <w:jc w:val="center"/>
              <w:rPr>
                <w:rFonts w:hint="eastAsia" w:ascii="宋体" w:hAnsi="宋体"/>
                <w:sz w:val="24"/>
              </w:rPr>
            </w:pPr>
            <w:r>
              <w:rPr>
                <w:rFonts w:hint="eastAsia" w:ascii="宋体" w:hAnsi="宋体"/>
                <w:sz w:val="24"/>
              </w:rPr>
              <w:t>13:00-15:00</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5月26日</w:t>
            </w:r>
          </w:p>
          <w:p>
            <w:pPr>
              <w:widowControl/>
              <w:spacing w:line="500" w:lineRule="exact"/>
              <w:jc w:val="center"/>
              <w:rPr>
                <w:rFonts w:hint="eastAsia" w:ascii="宋体" w:hAnsi="宋体"/>
                <w:sz w:val="24"/>
              </w:rPr>
            </w:pPr>
            <w:r>
              <w:rPr>
                <w:rFonts w:hint="eastAsia" w:ascii="宋体" w:hAnsi="宋体"/>
                <w:sz w:val="24"/>
              </w:rPr>
              <w:t>16:00 -18:00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7" w:type="dxa"/>
            <w:vMerge w:val="restart"/>
            <w:vAlign w:val="center"/>
          </w:tcPr>
          <w:p>
            <w:pPr>
              <w:spacing w:line="500" w:lineRule="exact"/>
              <w:jc w:val="center"/>
              <w:rPr>
                <w:rFonts w:hint="eastAsia" w:ascii="宋体" w:hAnsi="宋体"/>
                <w:color w:val="000000"/>
                <w:sz w:val="24"/>
              </w:rPr>
            </w:pPr>
            <w:r>
              <w:rPr>
                <w:rFonts w:hint="eastAsia" w:ascii="宋体" w:hAnsi="宋体"/>
                <w:color w:val="000000"/>
                <w:sz w:val="24"/>
              </w:rPr>
              <w:t>理工大类</w:t>
            </w:r>
          </w:p>
        </w:tc>
        <w:tc>
          <w:tcPr>
            <w:tcW w:w="2341" w:type="dxa"/>
            <w:vAlign w:val="center"/>
          </w:tcPr>
          <w:p>
            <w:pPr>
              <w:spacing w:line="500" w:lineRule="exact"/>
              <w:jc w:val="center"/>
              <w:rPr>
                <w:rFonts w:hint="eastAsia" w:ascii="宋体" w:hAnsi="宋体"/>
                <w:color w:val="000000"/>
                <w:sz w:val="24"/>
              </w:rPr>
            </w:pPr>
            <w:r>
              <w:rPr>
                <w:rFonts w:hint="eastAsia" w:ascii="宋体" w:hAnsi="宋体"/>
                <w:color w:val="000000"/>
                <w:sz w:val="24"/>
              </w:rPr>
              <w:t>一般理工类</w:t>
            </w:r>
          </w:p>
        </w:tc>
        <w:tc>
          <w:tcPr>
            <w:tcW w:w="1800" w:type="dxa"/>
            <w:vAlign w:val="center"/>
          </w:tcPr>
          <w:p>
            <w:pPr>
              <w:spacing w:line="500" w:lineRule="exact"/>
              <w:jc w:val="center"/>
              <w:rPr>
                <w:rFonts w:hint="eastAsia" w:ascii="宋体" w:hAnsi="宋体"/>
                <w:color w:val="000000"/>
                <w:sz w:val="24"/>
              </w:rPr>
            </w:pPr>
            <w:r>
              <w:rPr>
                <w:rFonts w:hint="eastAsia" w:ascii="宋体" w:hAnsi="宋体"/>
                <w:color w:val="000000"/>
                <w:sz w:val="24"/>
              </w:rPr>
              <w:t>大学英语</w:t>
            </w:r>
          </w:p>
        </w:tc>
        <w:tc>
          <w:tcPr>
            <w:tcW w:w="1980" w:type="dxa"/>
            <w:vAlign w:val="center"/>
          </w:tcPr>
          <w:p>
            <w:pPr>
              <w:spacing w:line="500" w:lineRule="exact"/>
              <w:jc w:val="center"/>
              <w:rPr>
                <w:rFonts w:hint="eastAsia" w:ascii="宋体" w:hAnsi="宋体"/>
                <w:color w:val="000000"/>
                <w:sz w:val="24"/>
              </w:rPr>
            </w:pPr>
            <w:r>
              <w:rPr>
                <w:rFonts w:hint="eastAsia" w:ascii="宋体" w:hAnsi="宋体"/>
                <w:color w:val="000000"/>
                <w:sz w:val="24"/>
              </w:rPr>
              <w:t>高等数学</w:t>
            </w:r>
          </w:p>
        </w:tc>
        <w:tc>
          <w:tcPr>
            <w:tcW w:w="1980" w:type="dxa"/>
            <w:vAlign w:val="center"/>
          </w:tcPr>
          <w:p>
            <w:pPr>
              <w:spacing w:line="500" w:lineRule="exact"/>
              <w:jc w:val="center"/>
              <w:rPr>
                <w:rFonts w:hint="eastAsia" w:ascii="宋体" w:hAnsi="宋体"/>
                <w:color w:val="000000"/>
                <w:sz w:val="24"/>
              </w:rPr>
            </w:pPr>
            <w:r>
              <w:rPr>
                <w:rFonts w:hint="eastAsia" w:ascii="宋体" w:hAnsi="宋体"/>
                <w:color w:val="000000"/>
                <w:sz w:val="24"/>
              </w:rPr>
              <w:t>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7" w:type="dxa"/>
            <w:vMerge w:val="continue"/>
            <w:vAlign w:val="center"/>
          </w:tcPr>
          <w:p>
            <w:pPr>
              <w:spacing w:line="500" w:lineRule="exact"/>
              <w:jc w:val="center"/>
              <w:rPr>
                <w:rFonts w:hint="eastAsia" w:ascii="宋体" w:hAnsi="宋体"/>
                <w:color w:val="000000"/>
                <w:sz w:val="24"/>
              </w:rPr>
            </w:pPr>
          </w:p>
        </w:tc>
        <w:tc>
          <w:tcPr>
            <w:tcW w:w="2341" w:type="dxa"/>
            <w:vAlign w:val="center"/>
          </w:tcPr>
          <w:p>
            <w:pPr>
              <w:spacing w:line="500" w:lineRule="exact"/>
              <w:jc w:val="center"/>
              <w:rPr>
                <w:rFonts w:hint="eastAsia" w:ascii="宋体" w:hAnsi="宋体"/>
                <w:color w:val="000000"/>
                <w:sz w:val="24"/>
              </w:rPr>
            </w:pPr>
            <w:r>
              <w:rPr>
                <w:rFonts w:hint="eastAsia" w:ascii="宋体" w:hAnsi="宋体"/>
                <w:color w:val="000000"/>
                <w:sz w:val="24"/>
              </w:rPr>
              <w:t>数学类</w:t>
            </w:r>
          </w:p>
        </w:tc>
        <w:tc>
          <w:tcPr>
            <w:tcW w:w="1800" w:type="dxa"/>
            <w:vAlign w:val="center"/>
          </w:tcPr>
          <w:p>
            <w:pPr>
              <w:spacing w:line="500" w:lineRule="exact"/>
              <w:jc w:val="center"/>
              <w:rPr>
                <w:rFonts w:hint="eastAsia" w:ascii="宋体" w:hAnsi="宋体"/>
                <w:color w:val="000000"/>
                <w:sz w:val="24"/>
              </w:rPr>
            </w:pPr>
            <w:r>
              <w:rPr>
                <w:rFonts w:hint="eastAsia" w:ascii="宋体" w:hAnsi="宋体"/>
                <w:color w:val="000000"/>
                <w:sz w:val="24"/>
              </w:rPr>
              <w:t>大学英语</w:t>
            </w:r>
          </w:p>
        </w:tc>
        <w:tc>
          <w:tcPr>
            <w:tcW w:w="1980" w:type="dxa"/>
            <w:vAlign w:val="center"/>
          </w:tcPr>
          <w:p>
            <w:pPr>
              <w:spacing w:line="500" w:lineRule="exact"/>
              <w:jc w:val="center"/>
              <w:rPr>
                <w:rFonts w:hint="eastAsia" w:ascii="宋体" w:hAnsi="宋体"/>
                <w:color w:val="000000"/>
                <w:sz w:val="24"/>
              </w:rPr>
            </w:pPr>
            <w:r>
              <w:rPr>
                <w:rFonts w:hint="eastAsia" w:ascii="宋体" w:hAnsi="宋体"/>
                <w:color w:val="000000"/>
                <w:sz w:val="24"/>
              </w:rPr>
              <w:t>数学综合</w:t>
            </w:r>
          </w:p>
        </w:tc>
        <w:tc>
          <w:tcPr>
            <w:tcW w:w="1980" w:type="dxa"/>
            <w:vAlign w:val="center"/>
          </w:tcPr>
          <w:p>
            <w:pPr>
              <w:spacing w:line="500" w:lineRule="exact"/>
              <w:jc w:val="center"/>
              <w:rPr>
                <w:rFonts w:hint="eastAsia" w:ascii="宋体" w:hAnsi="宋体"/>
                <w:color w:val="000000"/>
                <w:sz w:val="24"/>
              </w:rPr>
            </w:pPr>
            <w:r>
              <w:rPr>
                <w:rFonts w:hint="eastAsia" w:ascii="宋体" w:hAnsi="宋体"/>
                <w:color w:val="000000"/>
                <w:sz w:val="24"/>
              </w:rPr>
              <w:t>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7" w:type="dxa"/>
            <w:vMerge w:val="continue"/>
            <w:vAlign w:val="center"/>
          </w:tcPr>
          <w:p>
            <w:pPr>
              <w:spacing w:line="500" w:lineRule="exact"/>
              <w:jc w:val="center"/>
              <w:rPr>
                <w:rFonts w:hint="eastAsia" w:ascii="宋体" w:hAnsi="宋体"/>
                <w:color w:val="000000"/>
                <w:sz w:val="24"/>
              </w:rPr>
            </w:pPr>
          </w:p>
        </w:tc>
        <w:tc>
          <w:tcPr>
            <w:tcW w:w="2341" w:type="dxa"/>
            <w:vAlign w:val="center"/>
          </w:tcPr>
          <w:p>
            <w:pPr>
              <w:widowControl/>
              <w:spacing w:line="500" w:lineRule="exact"/>
              <w:jc w:val="center"/>
              <w:rPr>
                <w:rFonts w:hint="eastAsia" w:ascii="宋体" w:hAnsi="宋体"/>
                <w:color w:val="000000"/>
                <w:sz w:val="24"/>
              </w:rPr>
            </w:pPr>
            <w:r>
              <w:rPr>
                <w:rFonts w:hint="eastAsia" w:ascii="宋体" w:hAnsi="宋体"/>
                <w:color w:val="000000"/>
                <w:sz w:val="24"/>
              </w:rPr>
              <w:t>计算机类</w:t>
            </w:r>
          </w:p>
        </w:tc>
        <w:tc>
          <w:tcPr>
            <w:tcW w:w="1800" w:type="dxa"/>
            <w:vAlign w:val="center"/>
          </w:tcPr>
          <w:p>
            <w:pPr>
              <w:widowControl/>
              <w:spacing w:line="500" w:lineRule="exact"/>
              <w:jc w:val="center"/>
              <w:rPr>
                <w:rFonts w:hint="eastAsia" w:ascii="宋体" w:hAnsi="宋体"/>
                <w:color w:val="000000"/>
                <w:sz w:val="24"/>
              </w:rPr>
            </w:pPr>
            <w:r>
              <w:rPr>
                <w:rFonts w:hint="eastAsia" w:ascii="宋体" w:hAnsi="宋体"/>
                <w:color w:val="000000"/>
                <w:sz w:val="24"/>
              </w:rPr>
              <w:t>大学英语</w:t>
            </w:r>
          </w:p>
        </w:tc>
        <w:tc>
          <w:tcPr>
            <w:tcW w:w="1980" w:type="dxa"/>
            <w:vAlign w:val="center"/>
          </w:tcPr>
          <w:p>
            <w:pPr>
              <w:widowControl/>
              <w:spacing w:line="500" w:lineRule="exact"/>
              <w:jc w:val="center"/>
              <w:rPr>
                <w:rFonts w:hint="eastAsia" w:ascii="宋体" w:hAnsi="宋体"/>
                <w:color w:val="000000"/>
                <w:sz w:val="24"/>
              </w:rPr>
            </w:pPr>
            <w:r>
              <w:rPr>
                <w:rFonts w:hint="eastAsia" w:ascii="宋体" w:hAnsi="宋体"/>
                <w:color w:val="000000"/>
                <w:sz w:val="24"/>
              </w:rPr>
              <w:t>高等数学</w:t>
            </w:r>
          </w:p>
        </w:tc>
        <w:tc>
          <w:tcPr>
            <w:tcW w:w="1980" w:type="dxa"/>
            <w:vAlign w:val="center"/>
          </w:tcPr>
          <w:p>
            <w:pPr>
              <w:widowControl/>
              <w:spacing w:line="500" w:lineRule="exact"/>
              <w:jc w:val="center"/>
              <w:rPr>
                <w:rFonts w:hint="eastAsia" w:ascii="宋体" w:hAnsi="宋体"/>
                <w:color w:val="000000"/>
                <w:sz w:val="24"/>
              </w:rPr>
            </w:pPr>
            <w:r>
              <w:rPr>
                <w:rFonts w:hint="eastAsia" w:ascii="宋体" w:hAnsi="宋体"/>
                <w:color w:val="000000"/>
                <w:sz w:val="24"/>
              </w:rPr>
              <w:t>计算机综合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7" w:type="dxa"/>
            <w:vMerge w:val="restart"/>
            <w:vAlign w:val="center"/>
          </w:tcPr>
          <w:p>
            <w:pPr>
              <w:spacing w:line="500" w:lineRule="exact"/>
              <w:jc w:val="center"/>
              <w:rPr>
                <w:rFonts w:hint="eastAsia" w:ascii="宋体" w:hAnsi="宋体"/>
                <w:sz w:val="24"/>
              </w:rPr>
            </w:pPr>
            <w:r>
              <w:rPr>
                <w:rFonts w:hint="eastAsia" w:ascii="宋体" w:hAnsi="宋体"/>
                <w:sz w:val="24"/>
              </w:rPr>
              <w:t>文科大类</w:t>
            </w:r>
          </w:p>
        </w:tc>
        <w:tc>
          <w:tcPr>
            <w:tcW w:w="2341" w:type="dxa"/>
            <w:vAlign w:val="center"/>
          </w:tcPr>
          <w:p>
            <w:pPr>
              <w:widowControl/>
              <w:spacing w:line="500" w:lineRule="exact"/>
              <w:jc w:val="center"/>
              <w:rPr>
                <w:rFonts w:hint="eastAsia" w:ascii="宋体" w:hAnsi="宋体"/>
                <w:sz w:val="24"/>
              </w:rPr>
            </w:pPr>
            <w:r>
              <w:rPr>
                <w:rFonts w:hint="eastAsia" w:ascii="宋体" w:hAnsi="宋体"/>
                <w:sz w:val="24"/>
              </w:rPr>
              <w:t>英语类</w:t>
            </w:r>
          </w:p>
        </w:tc>
        <w:tc>
          <w:tcPr>
            <w:tcW w:w="1800" w:type="dxa"/>
            <w:vAlign w:val="center"/>
          </w:tcPr>
          <w:p>
            <w:pPr>
              <w:widowControl/>
              <w:spacing w:line="500" w:lineRule="exact"/>
              <w:jc w:val="center"/>
              <w:rPr>
                <w:rFonts w:hint="eastAsia" w:ascii="宋体" w:hAnsi="宋体"/>
                <w:sz w:val="24"/>
              </w:rPr>
            </w:pPr>
            <w:r>
              <w:rPr>
                <w:rFonts w:hint="eastAsia" w:ascii="宋体" w:hAnsi="宋体"/>
                <w:sz w:val="24"/>
              </w:rPr>
              <w:t>英语综合</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大学语文</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7" w:type="dxa"/>
            <w:vMerge w:val="continue"/>
            <w:vAlign w:val="center"/>
          </w:tcPr>
          <w:p>
            <w:pPr>
              <w:spacing w:line="500" w:lineRule="exact"/>
              <w:jc w:val="center"/>
              <w:rPr>
                <w:rFonts w:hint="eastAsia" w:ascii="宋体" w:hAnsi="宋体"/>
                <w:sz w:val="24"/>
              </w:rPr>
            </w:pPr>
          </w:p>
        </w:tc>
        <w:tc>
          <w:tcPr>
            <w:tcW w:w="2341" w:type="dxa"/>
            <w:vAlign w:val="center"/>
          </w:tcPr>
          <w:p>
            <w:pPr>
              <w:widowControl/>
              <w:spacing w:line="500" w:lineRule="exact"/>
              <w:jc w:val="center"/>
              <w:rPr>
                <w:rFonts w:hint="eastAsia" w:ascii="宋体" w:hAnsi="宋体"/>
                <w:sz w:val="24"/>
              </w:rPr>
            </w:pPr>
            <w:r>
              <w:rPr>
                <w:rFonts w:hint="eastAsia" w:ascii="宋体" w:hAnsi="宋体"/>
                <w:sz w:val="24"/>
              </w:rPr>
              <w:t>日语类</w:t>
            </w:r>
          </w:p>
        </w:tc>
        <w:tc>
          <w:tcPr>
            <w:tcW w:w="1800" w:type="dxa"/>
            <w:vAlign w:val="center"/>
          </w:tcPr>
          <w:p>
            <w:pPr>
              <w:widowControl/>
              <w:spacing w:line="500" w:lineRule="exact"/>
              <w:jc w:val="center"/>
              <w:rPr>
                <w:rFonts w:hint="eastAsia" w:ascii="宋体" w:hAnsi="宋体"/>
                <w:sz w:val="24"/>
              </w:rPr>
            </w:pPr>
            <w:r>
              <w:rPr>
                <w:rFonts w:hint="eastAsia" w:ascii="宋体" w:hAnsi="宋体"/>
                <w:sz w:val="24"/>
              </w:rPr>
              <w:t>日语综合</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大学语文</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7" w:type="dxa"/>
            <w:vMerge w:val="continue"/>
            <w:vAlign w:val="center"/>
          </w:tcPr>
          <w:p>
            <w:pPr>
              <w:spacing w:line="500" w:lineRule="exact"/>
              <w:jc w:val="center"/>
              <w:rPr>
                <w:rFonts w:hint="eastAsia" w:ascii="宋体" w:hAnsi="宋体"/>
                <w:sz w:val="24"/>
              </w:rPr>
            </w:pPr>
          </w:p>
        </w:tc>
        <w:tc>
          <w:tcPr>
            <w:tcW w:w="2341" w:type="dxa"/>
            <w:vAlign w:val="center"/>
          </w:tcPr>
          <w:p>
            <w:pPr>
              <w:widowControl/>
              <w:spacing w:line="500" w:lineRule="exact"/>
              <w:jc w:val="center"/>
              <w:rPr>
                <w:rFonts w:hint="eastAsia" w:ascii="宋体" w:hAnsi="宋体"/>
                <w:sz w:val="24"/>
              </w:rPr>
            </w:pPr>
            <w:r>
              <w:rPr>
                <w:rFonts w:hint="eastAsia" w:ascii="宋体" w:hAnsi="宋体"/>
                <w:sz w:val="24"/>
              </w:rPr>
              <w:t>汉语言文学类</w:t>
            </w:r>
          </w:p>
        </w:tc>
        <w:tc>
          <w:tcPr>
            <w:tcW w:w="1800" w:type="dxa"/>
            <w:vAlign w:val="center"/>
          </w:tcPr>
          <w:p>
            <w:pPr>
              <w:widowControl/>
              <w:spacing w:line="500" w:lineRule="exact"/>
              <w:jc w:val="center"/>
              <w:rPr>
                <w:rFonts w:hint="eastAsia" w:ascii="宋体" w:hAnsi="宋体"/>
                <w:sz w:val="24"/>
              </w:rPr>
            </w:pPr>
            <w:r>
              <w:rPr>
                <w:rFonts w:hint="eastAsia" w:ascii="宋体" w:hAnsi="宋体"/>
                <w:sz w:val="24"/>
              </w:rPr>
              <w:t>大学英语</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汉语言文学综合</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7" w:type="dxa"/>
            <w:vMerge w:val="continue"/>
            <w:vAlign w:val="center"/>
          </w:tcPr>
          <w:p>
            <w:pPr>
              <w:spacing w:line="500" w:lineRule="exact"/>
              <w:jc w:val="center"/>
              <w:rPr>
                <w:rFonts w:hint="eastAsia" w:ascii="宋体" w:hAnsi="宋体"/>
                <w:sz w:val="24"/>
              </w:rPr>
            </w:pPr>
          </w:p>
        </w:tc>
        <w:tc>
          <w:tcPr>
            <w:tcW w:w="2341" w:type="dxa"/>
            <w:vAlign w:val="center"/>
          </w:tcPr>
          <w:p>
            <w:pPr>
              <w:spacing w:line="500" w:lineRule="exact"/>
              <w:jc w:val="center"/>
              <w:rPr>
                <w:rFonts w:hint="eastAsia" w:ascii="宋体" w:hAnsi="宋体"/>
                <w:sz w:val="24"/>
              </w:rPr>
            </w:pPr>
            <w:r>
              <w:rPr>
                <w:rFonts w:hint="eastAsia" w:ascii="宋体" w:hAnsi="宋体"/>
                <w:sz w:val="24"/>
              </w:rPr>
              <w:t>艺术类</w:t>
            </w:r>
          </w:p>
        </w:tc>
        <w:tc>
          <w:tcPr>
            <w:tcW w:w="1800" w:type="dxa"/>
            <w:vAlign w:val="center"/>
          </w:tcPr>
          <w:p>
            <w:pPr>
              <w:spacing w:line="500" w:lineRule="exact"/>
              <w:jc w:val="center"/>
              <w:rPr>
                <w:rFonts w:hint="eastAsia" w:ascii="宋体" w:hAnsi="宋体"/>
                <w:sz w:val="24"/>
              </w:rPr>
            </w:pPr>
            <w:r>
              <w:rPr>
                <w:rFonts w:hint="eastAsia" w:ascii="宋体" w:hAnsi="宋体"/>
                <w:sz w:val="24"/>
              </w:rPr>
              <w:t>大学英语</w:t>
            </w:r>
          </w:p>
        </w:tc>
        <w:tc>
          <w:tcPr>
            <w:tcW w:w="1980" w:type="dxa"/>
            <w:vAlign w:val="center"/>
          </w:tcPr>
          <w:p>
            <w:pPr>
              <w:spacing w:line="500" w:lineRule="exact"/>
              <w:jc w:val="center"/>
              <w:rPr>
                <w:rFonts w:hint="eastAsia" w:ascii="宋体" w:hAnsi="宋体"/>
                <w:sz w:val="24"/>
              </w:rPr>
            </w:pPr>
            <w:r>
              <w:rPr>
                <w:rFonts w:hint="eastAsia" w:ascii="宋体" w:hAnsi="宋体"/>
                <w:sz w:val="24"/>
              </w:rPr>
              <w:t>大学语文</w:t>
            </w:r>
          </w:p>
        </w:tc>
        <w:tc>
          <w:tcPr>
            <w:tcW w:w="1980" w:type="dxa"/>
            <w:vAlign w:val="center"/>
          </w:tcPr>
          <w:p>
            <w:pPr>
              <w:spacing w:line="500" w:lineRule="exact"/>
              <w:jc w:val="center"/>
              <w:rPr>
                <w:rFonts w:hint="eastAsia" w:ascii="宋体" w:hAnsi="宋体"/>
                <w:sz w:val="24"/>
              </w:rPr>
            </w:pPr>
            <w:r>
              <w:rPr>
                <w:rFonts w:hint="eastAsia" w:ascii="宋体" w:hAnsi="宋体"/>
                <w:sz w:val="24"/>
              </w:rPr>
              <w:t>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7" w:type="dxa"/>
            <w:vMerge w:val="continue"/>
            <w:vAlign w:val="center"/>
          </w:tcPr>
          <w:p>
            <w:pPr>
              <w:spacing w:line="500" w:lineRule="exact"/>
              <w:jc w:val="center"/>
              <w:rPr>
                <w:rFonts w:hint="eastAsia" w:ascii="宋体" w:hAnsi="宋体"/>
                <w:sz w:val="24"/>
              </w:rPr>
            </w:pPr>
          </w:p>
        </w:tc>
        <w:tc>
          <w:tcPr>
            <w:tcW w:w="2341" w:type="dxa"/>
            <w:vAlign w:val="center"/>
          </w:tcPr>
          <w:p>
            <w:pPr>
              <w:widowControl/>
              <w:spacing w:line="500" w:lineRule="exact"/>
              <w:jc w:val="center"/>
              <w:rPr>
                <w:rFonts w:hint="eastAsia" w:ascii="宋体" w:hAnsi="宋体"/>
                <w:sz w:val="24"/>
              </w:rPr>
            </w:pPr>
            <w:r>
              <w:rPr>
                <w:rFonts w:hint="eastAsia" w:ascii="宋体" w:hAnsi="宋体"/>
                <w:sz w:val="24"/>
              </w:rPr>
              <w:t>教育学类</w:t>
            </w:r>
          </w:p>
        </w:tc>
        <w:tc>
          <w:tcPr>
            <w:tcW w:w="1800" w:type="dxa"/>
            <w:vAlign w:val="center"/>
          </w:tcPr>
          <w:p>
            <w:pPr>
              <w:widowControl/>
              <w:spacing w:line="500" w:lineRule="exact"/>
              <w:jc w:val="center"/>
              <w:rPr>
                <w:rFonts w:hint="eastAsia" w:ascii="宋体" w:hAnsi="宋体"/>
                <w:sz w:val="24"/>
              </w:rPr>
            </w:pPr>
            <w:r>
              <w:rPr>
                <w:rFonts w:hint="eastAsia" w:ascii="宋体" w:hAnsi="宋体"/>
                <w:sz w:val="24"/>
              </w:rPr>
              <w:t>大学英语</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教育学</w:t>
            </w:r>
          </w:p>
        </w:tc>
        <w:tc>
          <w:tcPr>
            <w:tcW w:w="1980" w:type="dxa"/>
            <w:vAlign w:val="center"/>
          </w:tcPr>
          <w:p>
            <w:pPr>
              <w:widowControl/>
              <w:spacing w:line="500" w:lineRule="exact"/>
              <w:jc w:val="center"/>
              <w:rPr>
                <w:rFonts w:hint="eastAsia" w:ascii="宋体" w:hAnsi="宋体"/>
                <w:sz w:val="24"/>
              </w:rPr>
            </w:pPr>
            <w:r>
              <w:rPr>
                <w:rFonts w:hint="eastAsia" w:ascii="宋体" w:hAnsi="宋体"/>
                <w:sz w:val="24"/>
              </w:rPr>
              <w:t>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7" w:type="dxa"/>
            <w:vMerge w:val="continue"/>
            <w:vAlign w:val="center"/>
          </w:tcPr>
          <w:p>
            <w:pPr>
              <w:spacing w:line="500" w:lineRule="exact"/>
              <w:jc w:val="center"/>
              <w:rPr>
                <w:rFonts w:hint="eastAsia" w:ascii="宋体" w:hAnsi="宋体"/>
                <w:sz w:val="24"/>
              </w:rPr>
            </w:pPr>
          </w:p>
        </w:tc>
        <w:tc>
          <w:tcPr>
            <w:tcW w:w="2341" w:type="dxa"/>
            <w:vAlign w:val="center"/>
          </w:tcPr>
          <w:p>
            <w:pPr>
              <w:spacing w:line="500" w:lineRule="exact"/>
              <w:jc w:val="center"/>
              <w:rPr>
                <w:rFonts w:hint="eastAsia" w:ascii="宋体" w:hAnsi="宋体"/>
                <w:sz w:val="24"/>
              </w:rPr>
            </w:pPr>
            <w:r>
              <w:rPr>
                <w:rFonts w:hint="eastAsia" w:ascii="宋体" w:hAnsi="宋体"/>
                <w:sz w:val="24"/>
              </w:rPr>
              <w:t>经管类</w:t>
            </w:r>
          </w:p>
        </w:tc>
        <w:tc>
          <w:tcPr>
            <w:tcW w:w="1800" w:type="dxa"/>
            <w:vAlign w:val="center"/>
          </w:tcPr>
          <w:p>
            <w:pPr>
              <w:spacing w:line="500" w:lineRule="exact"/>
              <w:jc w:val="center"/>
              <w:rPr>
                <w:rFonts w:hint="eastAsia" w:ascii="宋体" w:hAnsi="宋体"/>
                <w:sz w:val="24"/>
              </w:rPr>
            </w:pPr>
            <w:r>
              <w:rPr>
                <w:rFonts w:hint="eastAsia" w:ascii="宋体" w:hAnsi="宋体"/>
                <w:sz w:val="24"/>
              </w:rPr>
              <w:t>大学英语</w:t>
            </w:r>
          </w:p>
        </w:tc>
        <w:tc>
          <w:tcPr>
            <w:tcW w:w="1980" w:type="dxa"/>
            <w:vAlign w:val="center"/>
          </w:tcPr>
          <w:p>
            <w:pPr>
              <w:spacing w:line="500" w:lineRule="exact"/>
              <w:jc w:val="center"/>
              <w:rPr>
                <w:rFonts w:hint="eastAsia" w:ascii="宋体" w:hAnsi="宋体"/>
                <w:sz w:val="24"/>
              </w:rPr>
            </w:pPr>
            <w:r>
              <w:rPr>
                <w:rFonts w:hint="eastAsia" w:ascii="宋体" w:hAnsi="宋体"/>
                <w:sz w:val="24"/>
              </w:rPr>
              <w:t>经济数学</w:t>
            </w:r>
          </w:p>
        </w:tc>
        <w:tc>
          <w:tcPr>
            <w:tcW w:w="1980" w:type="dxa"/>
            <w:vAlign w:val="center"/>
          </w:tcPr>
          <w:p>
            <w:pPr>
              <w:spacing w:line="500" w:lineRule="exact"/>
              <w:jc w:val="center"/>
              <w:rPr>
                <w:rFonts w:hint="eastAsia" w:ascii="宋体" w:hAnsi="宋体"/>
                <w:sz w:val="24"/>
              </w:rPr>
            </w:pPr>
            <w:r>
              <w:rPr>
                <w:rFonts w:hint="eastAsia" w:ascii="宋体" w:hAnsi="宋体"/>
                <w:sz w:val="24"/>
              </w:rPr>
              <w:t>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8" w:type="dxa"/>
            <w:gridSpan w:val="5"/>
            <w:vAlign w:val="center"/>
          </w:tcPr>
          <w:p>
            <w:pPr>
              <w:spacing w:line="500" w:lineRule="exact"/>
              <w:rPr>
                <w:rFonts w:hint="eastAsia" w:ascii="宋体" w:hAnsi="宋体"/>
                <w:color w:val="000000"/>
                <w:sz w:val="24"/>
              </w:rPr>
            </w:pPr>
            <w:r>
              <w:rPr>
                <w:rFonts w:hint="eastAsia" w:ascii="宋体" w:hAnsi="宋体"/>
                <w:color w:val="000000"/>
                <w:sz w:val="24"/>
              </w:rPr>
              <w:t>备注：“工程造价”专业考“高等数学”；“建筑装饰工程技术”参加一般理工类考试、划线，升入“环境设计”专业。</w:t>
            </w:r>
          </w:p>
        </w:tc>
      </w:tr>
    </w:tbl>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3．“专升本”成绩计算。根据四川省教育厅文件精神，我校专升本成绩由原专科阶段的必修课程（学分制的）或考试课程（非学分制）成绩占20%（实践环节由于其计算的差异性较大，本次暂不纳入计算），“专升本”考试成绩占80%计算。专科阶段20%成绩的计算方法是：首先计算各门必修（或考试）课程的成绩之总和（不同专业其总和课程门数可能有不同），将成绩总和除以计算的课程门数，得到课程平均成绩，再乘以20%算出专科阶段成绩（计算的课程中，如果有通过补考或重修方才合格的〈无论分数高低〉，均按60分纳入计算）；专升本考试80%成绩的计算方法是：本次考试3门课程成绩之和除以3，得到平均成绩，再乘以80%算出专升本考试成绩。</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4．成绩公布与录取。</w:t>
      </w:r>
      <w:r>
        <w:rPr>
          <w:rFonts w:hint="eastAsia" w:ascii="宋体" w:hAnsi="宋体"/>
          <w:color w:val="000000"/>
          <w:sz w:val="28"/>
          <w:szCs w:val="28"/>
          <w:lang w:eastAsia="zh-CN"/>
        </w:rPr>
        <w:t>四川科技职业</w:t>
      </w:r>
      <w:r>
        <w:rPr>
          <w:rFonts w:hint="eastAsia" w:ascii="宋体" w:hAnsi="宋体"/>
          <w:color w:val="000000"/>
          <w:sz w:val="28"/>
          <w:szCs w:val="28"/>
        </w:rPr>
        <w:t>学院应将学生考试成绩书面通知到学生本人。西华大学以考生专科阶段20%的成绩、专升本考试80%的成绩和奖励办法中的奖励分，三者相加后的总成绩进行排名。综合学生素质，按照西华大学划定的录取资格线，结合西华大学与对口专科学校办学条件、计划完成情况、专业差异、人才培养标准等，确定各类别各专业的录取分数线。原则上从高分到低分，择优确定“专升本”拟录取名单，经乙方学校张榜公布后由西华大学报四川省教育厅审批。</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5.按照《四川省教育厅关于进一步做好在川普通高校大学生参军入伍工作的通知》（川教函〔2015〕431号）要求，高职（专科）学生应征入伍服义务兵役退役，在完成高职（专科）学业后参加普通“专升本”考试，实行计划单列，录取比例50%。拟录取名单公示时间不少于5个工作日。</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6．拟录取学生名单经公示无异议后，学校于6月22日前通过“信息平台”报送相关电子录取信息。信息数据填报成功，待教育厅审核后，学校以公函形式将录取名册纸质文档（一式三份）报教育厅备案。经四川省教育厅审批同意“专升本”的学生，在秋季开学后升入西华大学相同或相近专业本科三年级学习。</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7．“专升本”学生档案材料，在学生报到入学前报送西华大学教务处。</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 xml:space="preserve">三、奖励办法   </w:t>
      </w:r>
    </w:p>
    <w:p>
      <w:pPr>
        <w:spacing w:line="500" w:lineRule="exact"/>
        <w:ind w:firstLine="600"/>
        <w:rPr>
          <w:rFonts w:hint="eastAsia" w:ascii="宋体" w:hAnsi="宋体"/>
          <w:color w:val="000000"/>
          <w:sz w:val="28"/>
          <w:szCs w:val="28"/>
        </w:rPr>
      </w:pPr>
      <w:r>
        <w:rPr>
          <w:rFonts w:hint="eastAsia" w:ascii="宋体" w:hAnsi="宋体"/>
          <w:color w:val="000000"/>
          <w:sz w:val="28"/>
          <w:szCs w:val="28"/>
        </w:rPr>
        <w:t>1．在校期间获得市、州以上人民政府奖励，或毕业时获得“四川省普通高等学校优秀毕业生”荣誉等特别优秀的应届专科毕业生给予奖励分4分。</w:t>
      </w:r>
    </w:p>
    <w:p>
      <w:pPr>
        <w:spacing w:line="500" w:lineRule="exact"/>
        <w:ind w:firstLine="600"/>
        <w:rPr>
          <w:rFonts w:hint="eastAsia" w:ascii="宋体" w:hAnsi="宋体"/>
          <w:color w:val="000000"/>
          <w:sz w:val="28"/>
          <w:szCs w:val="28"/>
        </w:rPr>
      </w:pPr>
      <w:r>
        <w:rPr>
          <w:rFonts w:hint="eastAsia" w:ascii="宋体" w:hAnsi="宋体"/>
          <w:sz w:val="28"/>
          <w:szCs w:val="28"/>
        </w:rPr>
        <w:t>2.凡符合选拔基本条件的专科生在校期间，以就读院校为第一完成单位（第一完成人）获得发明专利、公开发表与专业相关的论文，按下表给予奖励分，同时获多种奖励加分条件者，只按最高一类加分，同一种奖励多次获奖者，只计一次，不重复加分计算。</w:t>
      </w:r>
    </w:p>
    <w:tbl>
      <w:tblPr>
        <w:tblStyle w:val="4"/>
        <w:tblW w:w="7975"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214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85" w:type="dxa"/>
            <w:vAlign w:val="top"/>
          </w:tcPr>
          <w:p>
            <w:pPr>
              <w:spacing w:line="500" w:lineRule="exact"/>
              <w:jc w:val="center"/>
              <w:rPr>
                <w:rFonts w:hint="eastAsia" w:ascii="宋体" w:hAnsi="宋体"/>
                <w:color w:val="FF0000"/>
                <w:sz w:val="28"/>
                <w:szCs w:val="28"/>
              </w:rPr>
            </w:pPr>
            <w:r>
              <w:rPr>
                <w:rFonts w:hint="eastAsia" w:ascii="宋体" w:hAnsi="宋体"/>
                <w:color w:val="FF0000"/>
                <w:sz w:val="28"/>
                <w:szCs w:val="28"/>
              </w:rPr>
              <w:t>奖励项目</w:t>
            </w:r>
          </w:p>
        </w:tc>
        <w:tc>
          <w:tcPr>
            <w:tcW w:w="2145" w:type="dxa"/>
            <w:vAlign w:val="top"/>
          </w:tcPr>
          <w:p>
            <w:pPr>
              <w:spacing w:line="500" w:lineRule="exact"/>
              <w:jc w:val="center"/>
              <w:rPr>
                <w:rFonts w:hint="eastAsia" w:ascii="宋体" w:hAnsi="宋体"/>
                <w:color w:val="FF0000"/>
                <w:sz w:val="28"/>
                <w:szCs w:val="28"/>
              </w:rPr>
            </w:pPr>
            <w:r>
              <w:rPr>
                <w:rFonts w:hint="eastAsia" w:ascii="宋体" w:hAnsi="宋体"/>
                <w:color w:val="FF0000"/>
                <w:sz w:val="28"/>
                <w:szCs w:val="28"/>
              </w:rPr>
              <w:t>奖励分值</w:t>
            </w:r>
          </w:p>
        </w:tc>
        <w:tc>
          <w:tcPr>
            <w:tcW w:w="2145" w:type="dxa"/>
            <w:vAlign w:val="top"/>
          </w:tcPr>
          <w:p>
            <w:pPr>
              <w:spacing w:line="500" w:lineRule="exact"/>
              <w:jc w:val="center"/>
              <w:rPr>
                <w:rFonts w:hint="eastAsia" w:ascii="宋体" w:hAnsi="宋体"/>
                <w:color w:val="FF0000"/>
                <w:sz w:val="28"/>
                <w:szCs w:val="28"/>
              </w:rPr>
            </w:pPr>
            <w:r>
              <w:rPr>
                <w:rFonts w:hint="eastAsia" w:ascii="宋体" w:hAnsi="宋体"/>
                <w:color w:val="FF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85" w:type="dxa"/>
            <w:vAlign w:val="center"/>
          </w:tcPr>
          <w:p>
            <w:pPr>
              <w:spacing w:line="500" w:lineRule="exact"/>
              <w:jc w:val="center"/>
              <w:rPr>
                <w:rFonts w:hint="eastAsia" w:ascii="宋体" w:hAnsi="宋体"/>
                <w:color w:val="000000"/>
                <w:sz w:val="28"/>
                <w:szCs w:val="28"/>
              </w:rPr>
            </w:pPr>
            <w:r>
              <w:rPr>
                <w:rFonts w:hint="eastAsia" w:ascii="宋体" w:hAnsi="宋体"/>
                <w:color w:val="000000"/>
                <w:sz w:val="30"/>
                <w:szCs w:val="30"/>
              </w:rPr>
              <w:t>国家发明专利</w:t>
            </w:r>
          </w:p>
        </w:tc>
        <w:tc>
          <w:tcPr>
            <w:tcW w:w="2145" w:type="dxa"/>
            <w:vAlign w:val="center"/>
          </w:tcPr>
          <w:p>
            <w:pPr>
              <w:spacing w:line="500" w:lineRule="exact"/>
              <w:jc w:val="center"/>
              <w:rPr>
                <w:rFonts w:hint="eastAsia" w:ascii="宋体" w:hAnsi="宋体"/>
                <w:color w:val="000000"/>
                <w:sz w:val="28"/>
                <w:szCs w:val="28"/>
              </w:rPr>
            </w:pPr>
            <w:r>
              <w:rPr>
                <w:rFonts w:hint="eastAsia" w:ascii="宋体" w:hAnsi="宋体"/>
                <w:color w:val="000000"/>
                <w:sz w:val="28"/>
                <w:szCs w:val="28"/>
              </w:rPr>
              <w:t>3</w:t>
            </w:r>
          </w:p>
        </w:tc>
        <w:tc>
          <w:tcPr>
            <w:tcW w:w="2145" w:type="dxa"/>
            <w:vAlign w:val="center"/>
          </w:tcPr>
          <w:p>
            <w:pPr>
              <w:spacing w:line="500" w:lineRule="exact"/>
              <w:jc w:val="center"/>
              <w:rPr>
                <w:rFonts w:hint="eastAsia" w:ascii="宋体" w:hAnsi="宋体"/>
                <w:color w:val="000000"/>
                <w:sz w:val="28"/>
                <w:szCs w:val="28"/>
              </w:rPr>
            </w:pPr>
            <w:r>
              <w:rPr>
                <w:rFonts w:hint="eastAsia" w:ascii="宋体" w:hAnsi="宋体"/>
                <w:color w:val="000000"/>
                <w:sz w:val="30"/>
                <w:szCs w:val="30"/>
              </w:rPr>
              <w:t>获得专利授权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3685" w:type="dxa"/>
            <w:vMerge w:val="restart"/>
            <w:vAlign w:val="center"/>
          </w:tcPr>
          <w:p>
            <w:pPr>
              <w:spacing w:line="500" w:lineRule="exact"/>
              <w:jc w:val="center"/>
              <w:rPr>
                <w:rFonts w:hint="eastAsia" w:ascii="宋体" w:hAnsi="宋体"/>
                <w:color w:val="000000"/>
                <w:sz w:val="28"/>
                <w:szCs w:val="28"/>
              </w:rPr>
            </w:pPr>
            <w:r>
              <w:rPr>
                <w:rFonts w:hint="eastAsia" w:ascii="宋体" w:hAnsi="宋体"/>
                <w:color w:val="000000"/>
                <w:sz w:val="28"/>
                <w:szCs w:val="28"/>
              </w:rPr>
              <w:t>公开发表论文</w:t>
            </w:r>
          </w:p>
          <w:p>
            <w:pPr>
              <w:spacing w:line="500" w:lineRule="exact"/>
              <w:jc w:val="center"/>
              <w:rPr>
                <w:rFonts w:hint="eastAsia" w:ascii="宋体" w:hAnsi="宋体"/>
                <w:color w:val="000000"/>
                <w:sz w:val="28"/>
                <w:szCs w:val="28"/>
              </w:rPr>
            </w:pPr>
            <w:r>
              <w:rPr>
                <w:rFonts w:hint="eastAsia" w:ascii="宋体" w:hAnsi="宋体"/>
                <w:color w:val="000000"/>
                <w:sz w:val="30"/>
                <w:szCs w:val="30"/>
              </w:rPr>
              <w:t>（核心期刊的认定以西华大学图书馆的认定为准）</w:t>
            </w:r>
          </w:p>
        </w:tc>
        <w:tc>
          <w:tcPr>
            <w:tcW w:w="2145" w:type="dxa"/>
            <w:vAlign w:val="center"/>
          </w:tcPr>
          <w:p>
            <w:pPr>
              <w:spacing w:line="500" w:lineRule="exact"/>
              <w:jc w:val="center"/>
              <w:rPr>
                <w:rFonts w:hint="eastAsia" w:ascii="宋体" w:hAnsi="宋体"/>
                <w:color w:val="000000"/>
                <w:sz w:val="28"/>
                <w:szCs w:val="28"/>
              </w:rPr>
            </w:pPr>
            <w:r>
              <w:rPr>
                <w:rFonts w:hint="eastAsia" w:ascii="宋体" w:hAnsi="宋体"/>
                <w:color w:val="000000"/>
                <w:sz w:val="28"/>
                <w:szCs w:val="28"/>
              </w:rPr>
              <w:t>3</w:t>
            </w:r>
          </w:p>
        </w:tc>
        <w:tc>
          <w:tcPr>
            <w:tcW w:w="2145" w:type="dxa"/>
            <w:vAlign w:val="center"/>
          </w:tcPr>
          <w:p>
            <w:pPr>
              <w:spacing w:line="500" w:lineRule="exact"/>
              <w:jc w:val="center"/>
              <w:rPr>
                <w:rFonts w:hint="eastAsia" w:ascii="宋体" w:hAnsi="宋体"/>
                <w:color w:val="000000"/>
                <w:sz w:val="28"/>
                <w:szCs w:val="28"/>
              </w:rPr>
            </w:pPr>
            <w:r>
              <w:rPr>
                <w:rFonts w:hint="eastAsia" w:ascii="宋体" w:hAnsi="宋体"/>
                <w:color w:val="000000"/>
                <w:sz w:val="28"/>
                <w:szCs w:val="28"/>
              </w:rPr>
              <w:t>核心刊物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0" w:hRule="atLeast"/>
          <w:jc w:val="center"/>
        </w:trPr>
        <w:tc>
          <w:tcPr>
            <w:tcW w:w="3685" w:type="dxa"/>
            <w:vMerge w:val="continue"/>
            <w:vAlign w:val="center"/>
          </w:tcPr>
          <w:p>
            <w:pPr>
              <w:spacing w:line="500" w:lineRule="exact"/>
              <w:jc w:val="center"/>
              <w:rPr>
                <w:rFonts w:hint="eastAsia" w:ascii="宋体" w:hAnsi="宋体"/>
                <w:color w:val="000000"/>
                <w:sz w:val="28"/>
                <w:szCs w:val="28"/>
              </w:rPr>
            </w:pPr>
          </w:p>
        </w:tc>
        <w:tc>
          <w:tcPr>
            <w:tcW w:w="2145" w:type="dxa"/>
            <w:vAlign w:val="center"/>
          </w:tcPr>
          <w:p>
            <w:pPr>
              <w:spacing w:line="500" w:lineRule="exact"/>
              <w:jc w:val="center"/>
              <w:rPr>
                <w:rFonts w:hint="eastAsia" w:ascii="宋体" w:hAnsi="宋体"/>
                <w:color w:val="000000"/>
                <w:sz w:val="28"/>
                <w:szCs w:val="28"/>
              </w:rPr>
            </w:pPr>
            <w:r>
              <w:rPr>
                <w:rFonts w:hint="eastAsia" w:ascii="宋体" w:hAnsi="宋体"/>
                <w:color w:val="000000"/>
                <w:sz w:val="28"/>
                <w:szCs w:val="28"/>
              </w:rPr>
              <w:t>0.5</w:t>
            </w:r>
          </w:p>
        </w:tc>
        <w:tc>
          <w:tcPr>
            <w:tcW w:w="2145" w:type="dxa"/>
            <w:vAlign w:val="center"/>
          </w:tcPr>
          <w:p>
            <w:pPr>
              <w:spacing w:line="500" w:lineRule="exact"/>
              <w:jc w:val="center"/>
              <w:rPr>
                <w:rFonts w:hint="eastAsia" w:ascii="宋体" w:hAnsi="宋体"/>
                <w:color w:val="000000"/>
                <w:sz w:val="28"/>
                <w:szCs w:val="28"/>
              </w:rPr>
            </w:pPr>
            <w:r>
              <w:rPr>
                <w:rFonts w:hint="eastAsia" w:ascii="宋体" w:hAnsi="宋体"/>
                <w:color w:val="000000"/>
                <w:sz w:val="28"/>
                <w:szCs w:val="28"/>
              </w:rPr>
              <w:t>一般刊物</w:t>
            </w:r>
          </w:p>
        </w:tc>
      </w:tr>
    </w:tbl>
    <w:p>
      <w:pPr>
        <w:spacing w:line="500" w:lineRule="exact"/>
        <w:ind w:firstLine="600"/>
        <w:rPr>
          <w:rFonts w:hint="eastAsia" w:ascii="宋体" w:hAnsi="宋体"/>
          <w:sz w:val="28"/>
          <w:szCs w:val="28"/>
        </w:rPr>
      </w:pPr>
      <w:r>
        <w:rPr>
          <w:rFonts w:hint="eastAsia" w:ascii="宋体" w:hAnsi="宋体"/>
          <w:sz w:val="28"/>
          <w:szCs w:val="28"/>
        </w:rPr>
        <w:t>3．凡符合选拔基本条件的专科生在校期间，在‘互联网+’大学生创新创业大赛、数学建模竞赛、电子设计竞赛中获奖，或CET-4（英语专业学生CET-6）合格、国家或省计算机二级证书获得者(非计算机专业)，按下表给予奖励分，同时获多种奖励加分条件者，只按最高一类加分，同一种奖励多次获奖者，只计一次，不重复加分计算。</w:t>
      </w:r>
    </w:p>
    <w:tbl>
      <w:tblPr>
        <w:tblStyle w:val="4"/>
        <w:tblW w:w="8006"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2176"/>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85" w:type="dxa"/>
            <w:vAlign w:val="top"/>
          </w:tcPr>
          <w:p>
            <w:pPr>
              <w:spacing w:line="500" w:lineRule="exact"/>
              <w:jc w:val="center"/>
              <w:rPr>
                <w:rFonts w:hint="eastAsia" w:ascii="宋体" w:hAnsi="宋体"/>
                <w:sz w:val="28"/>
                <w:szCs w:val="28"/>
              </w:rPr>
            </w:pPr>
            <w:r>
              <w:rPr>
                <w:rFonts w:hint="eastAsia" w:ascii="宋体" w:hAnsi="宋体"/>
                <w:sz w:val="28"/>
                <w:szCs w:val="28"/>
              </w:rPr>
              <w:t>奖励项目</w:t>
            </w:r>
          </w:p>
        </w:tc>
        <w:tc>
          <w:tcPr>
            <w:tcW w:w="2176" w:type="dxa"/>
            <w:vAlign w:val="top"/>
          </w:tcPr>
          <w:p>
            <w:pPr>
              <w:spacing w:line="500" w:lineRule="exact"/>
              <w:jc w:val="center"/>
              <w:rPr>
                <w:rFonts w:hint="eastAsia" w:ascii="宋体" w:hAnsi="宋体"/>
                <w:sz w:val="28"/>
                <w:szCs w:val="28"/>
              </w:rPr>
            </w:pPr>
            <w:r>
              <w:rPr>
                <w:rFonts w:hint="eastAsia" w:ascii="宋体" w:hAnsi="宋体"/>
                <w:sz w:val="28"/>
                <w:szCs w:val="28"/>
              </w:rPr>
              <w:t>获奖等级</w:t>
            </w:r>
          </w:p>
        </w:tc>
        <w:tc>
          <w:tcPr>
            <w:tcW w:w="2145" w:type="dxa"/>
            <w:vAlign w:val="top"/>
          </w:tcPr>
          <w:p>
            <w:pPr>
              <w:spacing w:line="500" w:lineRule="exact"/>
              <w:jc w:val="center"/>
              <w:rPr>
                <w:rFonts w:hint="eastAsia" w:ascii="宋体" w:hAnsi="宋体"/>
                <w:sz w:val="28"/>
                <w:szCs w:val="28"/>
              </w:rPr>
            </w:pPr>
            <w:r>
              <w:rPr>
                <w:rFonts w:hint="eastAsia" w:ascii="宋体" w:hAnsi="宋体"/>
                <w:sz w:val="28"/>
                <w:szCs w:val="28"/>
              </w:rPr>
              <w:t>奖励分值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85" w:type="dxa"/>
            <w:vMerge w:val="restart"/>
            <w:vAlign w:val="center"/>
          </w:tcPr>
          <w:p>
            <w:pPr>
              <w:spacing w:line="500" w:lineRule="exact"/>
              <w:jc w:val="center"/>
              <w:rPr>
                <w:rFonts w:hint="eastAsia" w:ascii="宋体" w:hAnsi="宋体"/>
                <w:sz w:val="28"/>
                <w:szCs w:val="28"/>
              </w:rPr>
            </w:pPr>
            <w:r>
              <w:rPr>
                <w:rFonts w:hint="eastAsia" w:ascii="仿宋_GB2312" w:hAnsi="宋体" w:eastAsia="仿宋_GB2312"/>
                <w:sz w:val="30"/>
                <w:szCs w:val="30"/>
              </w:rPr>
              <w:t>‘互联网+’大学生创新创业大赛</w:t>
            </w:r>
          </w:p>
        </w:tc>
        <w:tc>
          <w:tcPr>
            <w:tcW w:w="2176" w:type="dxa"/>
            <w:vAlign w:val="center"/>
          </w:tcPr>
          <w:p>
            <w:pPr>
              <w:spacing w:line="500" w:lineRule="exact"/>
              <w:jc w:val="center"/>
              <w:rPr>
                <w:rFonts w:hint="eastAsia" w:ascii="宋体" w:hAnsi="宋体"/>
                <w:sz w:val="28"/>
                <w:szCs w:val="28"/>
              </w:rPr>
            </w:pPr>
            <w:r>
              <w:rPr>
                <w:rFonts w:hint="eastAsia" w:ascii="宋体" w:hAnsi="宋体"/>
                <w:sz w:val="28"/>
                <w:szCs w:val="28"/>
              </w:rPr>
              <w:t>国家级</w:t>
            </w:r>
          </w:p>
        </w:tc>
        <w:tc>
          <w:tcPr>
            <w:tcW w:w="2145" w:type="dxa"/>
            <w:vAlign w:val="center"/>
          </w:tcPr>
          <w:p>
            <w:pPr>
              <w:spacing w:line="500" w:lineRule="exact"/>
              <w:jc w:val="center"/>
              <w:rPr>
                <w:rFonts w:hint="eastAsia" w:ascii="宋体" w:hAnsi="宋体"/>
                <w:sz w:val="28"/>
                <w:szCs w:val="28"/>
              </w:rPr>
            </w:pPr>
            <w:r>
              <w:rPr>
                <w:rFonts w:hint="eastAsia" w:ascii="宋体" w:hAnsi="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85" w:type="dxa"/>
            <w:vMerge w:val="continue"/>
            <w:vAlign w:val="center"/>
          </w:tcPr>
          <w:p>
            <w:pPr>
              <w:spacing w:line="500" w:lineRule="exact"/>
              <w:jc w:val="center"/>
              <w:rPr>
                <w:rFonts w:hint="eastAsia" w:ascii="宋体" w:hAnsi="宋体"/>
                <w:sz w:val="28"/>
                <w:szCs w:val="28"/>
              </w:rPr>
            </w:pPr>
          </w:p>
        </w:tc>
        <w:tc>
          <w:tcPr>
            <w:tcW w:w="2176" w:type="dxa"/>
            <w:vAlign w:val="center"/>
          </w:tcPr>
          <w:p>
            <w:pPr>
              <w:spacing w:line="500" w:lineRule="exact"/>
              <w:jc w:val="center"/>
              <w:rPr>
                <w:rFonts w:hint="eastAsia" w:ascii="宋体" w:hAnsi="宋体"/>
                <w:sz w:val="28"/>
                <w:szCs w:val="28"/>
              </w:rPr>
            </w:pPr>
            <w:r>
              <w:rPr>
                <w:rFonts w:hint="eastAsia" w:ascii="宋体" w:hAnsi="宋体"/>
                <w:sz w:val="28"/>
                <w:szCs w:val="28"/>
              </w:rPr>
              <w:t>省一等</w:t>
            </w:r>
          </w:p>
        </w:tc>
        <w:tc>
          <w:tcPr>
            <w:tcW w:w="2145" w:type="dxa"/>
            <w:vAlign w:val="center"/>
          </w:tcPr>
          <w:p>
            <w:pPr>
              <w:spacing w:line="500" w:lineRule="exact"/>
              <w:jc w:val="center"/>
              <w:rPr>
                <w:rFonts w:hint="eastAsia" w:ascii="宋体" w:hAnsi="宋体"/>
                <w:sz w:val="28"/>
                <w:szCs w:val="28"/>
              </w:rPr>
            </w:pPr>
            <w:r>
              <w:rPr>
                <w:rFonts w:hint="eastAsia" w:ascii="宋体" w:hAnsi="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85" w:type="dxa"/>
            <w:vMerge w:val="continue"/>
            <w:vAlign w:val="center"/>
          </w:tcPr>
          <w:p>
            <w:pPr>
              <w:spacing w:line="500" w:lineRule="exact"/>
              <w:jc w:val="center"/>
              <w:rPr>
                <w:rFonts w:hint="eastAsia" w:ascii="宋体" w:hAnsi="宋体"/>
                <w:sz w:val="28"/>
                <w:szCs w:val="28"/>
              </w:rPr>
            </w:pPr>
          </w:p>
        </w:tc>
        <w:tc>
          <w:tcPr>
            <w:tcW w:w="2176" w:type="dxa"/>
            <w:vAlign w:val="center"/>
          </w:tcPr>
          <w:p>
            <w:pPr>
              <w:spacing w:line="500" w:lineRule="exact"/>
              <w:jc w:val="center"/>
              <w:rPr>
                <w:rFonts w:hint="eastAsia" w:ascii="宋体" w:hAnsi="宋体"/>
                <w:sz w:val="28"/>
                <w:szCs w:val="28"/>
              </w:rPr>
            </w:pPr>
            <w:r>
              <w:rPr>
                <w:rFonts w:hint="eastAsia" w:ascii="宋体" w:hAnsi="宋体"/>
                <w:sz w:val="28"/>
                <w:szCs w:val="28"/>
              </w:rPr>
              <w:t>省二等</w:t>
            </w:r>
          </w:p>
        </w:tc>
        <w:tc>
          <w:tcPr>
            <w:tcW w:w="2145" w:type="dxa"/>
            <w:vAlign w:val="center"/>
          </w:tcPr>
          <w:p>
            <w:pPr>
              <w:spacing w:line="500" w:lineRule="exact"/>
              <w:jc w:val="center"/>
              <w:rPr>
                <w:rFonts w:hint="eastAsia" w:ascii="宋体" w:hAnsi="宋体"/>
                <w:sz w:val="28"/>
                <w:szCs w:val="28"/>
              </w:rPr>
            </w:pPr>
            <w:r>
              <w:rPr>
                <w:rFonts w:hint="eastAsia" w:ascii="宋体" w:hAnsi="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3685" w:type="dxa"/>
            <w:vMerge w:val="restart"/>
            <w:vAlign w:val="center"/>
          </w:tcPr>
          <w:p>
            <w:pPr>
              <w:spacing w:line="500" w:lineRule="exact"/>
              <w:jc w:val="center"/>
              <w:rPr>
                <w:rFonts w:hint="eastAsia" w:ascii="宋体" w:hAnsi="宋体"/>
                <w:sz w:val="28"/>
                <w:szCs w:val="28"/>
              </w:rPr>
            </w:pPr>
            <w:r>
              <w:rPr>
                <w:rFonts w:hint="eastAsia" w:ascii="宋体" w:hAnsi="宋体"/>
                <w:sz w:val="28"/>
                <w:szCs w:val="28"/>
              </w:rPr>
              <w:t>数学建模竞赛</w:t>
            </w:r>
          </w:p>
        </w:tc>
        <w:tc>
          <w:tcPr>
            <w:tcW w:w="2176" w:type="dxa"/>
            <w:vAlign w:val="center"/>
          </w:tcPr>
          <w:p>
            <w:pPr>
              <w:spacing w:line="500" w:lineRule="exact"/>
              <w:jc w:val="center"/>
              <w:rPr>
                <w:rFonts w:hint="eastAsia" w:ascii="宋体" w:hAnsi="宋体"/>
                <w:sz w:val="28"/>
                <w:szCs w:val="28"/>
              </w:rPr>
            </w:pPr>
            <w:r>
              <w:rPr>
                <w:rFonts w:hint="eastAsia" w:ascii="宋体" w:hAnsi="宋体"/>
                <w:sz w:val="28"/>
                <w:szCs w:val="28"/>
              </w:rPr>
              <w:t>国家级</w:t>
            </w:r>
          </w:p>
        </w:tc>
        <w:tc>
          <w:tcPr>
            <w:tcW w:w="2145" w:type="dxa"/>
            <w:vAlign w:val="center"/>
          </w:tcPr>
          <w:p>
            <w:pPr>
              <w:spacing w:line="500" w:lineRule="exact"/>
              <w:jc w:val="center"/>
              <w:rPr>
                <w:rFonts w:hint="eastAsia" w:ascii="宋体" w:hAnsi="宋体"/>
                <w:sz w:val="28"/>
                <w:szCs w:val="28"/>
              </w:rPr>
            </w:pPr>
            <w:r>
              <w:rPr>
                <w:rFonts w:hint="eastAsia" w:ascii="宋体" w:hAnsi="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85" w:type="dxa"/>
            <w:vMerge w:val="continue"/>
            <w:vAlign w:val="center"/>
          </w:tcPr>
          <w:p>
            <w:pPr>
              <w:spacing w:line="500" w:lineRule="exact"/>
              <w:jc w:val="center"/>
              <w:rPr>
                <w:rFonts w:hint="eastAsia" w:ascii="宋体" w:hAnsi="宋体"/>
                <w:sz w:val="28"/>
                <w:szCs w:val="28"/>
              </w:rPr>
            </w:pPr>
          </w:p>
        </w:tc>
        <w:tc>
          <w:tcPr>
            <w:tcW w:w="2176" w:type="dxa"/>
            <w:vAlign w:val="center"/>
          </w:tcPr>
          <w:p>
            <w:pPr>
              <w:spacing w:line="500" w:lineRule="exact"/>
              <w:jc w:val="center"/>
              <w:rPr>
                <w:rFonts w:hint="eastAsia" w:ascii="宋体" w:hAnsi="宋体"/>
                <w:sz w:val="28"/>
                <w:szCs w:val="28"/>
              </w:rPr>
            </w:pPr>
            <w:r>
              <w:rPr>
                <w:rFonts w:hint="eastAsia" w:ascii="宋体" w:hAnsi="宋体"/>
                <w:sz w:val="28"/>
                <w:szCs w:val="28"/>
              </w:rPr>
              <w:t>省一等</w:t>
            </w:r>
          </w:p>
        </w:tc>
        <w:tc>
          <w:tcPr>
            <w:tcW w:w="2145" w:type="dxa"/>
            <w:vAlign w:val="center"/>
          </w:tcPr>
          <w:p>
            <w:pPr>
              <w:spacing w:line="500" w:lineRule="exact"/>
              <w:jc w:val="center"/>
              <w:rPr>
                <w:rFonts w:hint="eastAsia" w:ascii="宋体" w:hAnsi="宋体"/>
                <w:sz w:val="28"/>
                <w:szCs w:val="28"/>
              </w:rPr>
            </w:pPr>
            <w:r>
              <w:rPr>
                <w:rFonts w:hint="eastAsia" w:ascii="宋体" w:hAnsi="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85" w:type="dxa"/>
            <w:vMerge w:val="continue"/>
            <w:vAlign w:val="center"/>
          </w:tcPr>
          <w:p>
            <w:pPr>
              <w:spacing w:line="500" w:lineRule="exact"/>
              <w:jc w:val="center"/>
              <w:rPr>
                <w:rFonts w:hint="eastAsia" w:ascii="宋体" w:hAnsi="宋体"/>
                <w:sz w:val="28"/>
                <w:szCs w:val="28"/>
              </w:rPr>
            </w:pPr>
          </w:p>
        </w:tc>
        <w:tc>
          <w:tcPr>
            <w:tcW w:w="2176" w:type="dxa"/>
            <w:vAlign w:val="center"/>
          </w:tcPr>
          <w:p>
            <w:pPr>
              <w:spacing w:line="500" w:lineRule="exact"/>
              <w:jc w:val="center"/>
              <w:rPr>
                <w:rFonts w:hint="eastAsia" w:ascii="宋体" w:hAnsi="宋体"/>
                <w:sz w:val="28"/>
                <w:szCs w:val="28"/>
              </w:rPr>
            </w:pPr>
            <w:r>
              <w:rPr>
                <w:rFonts w:hint="eastAsia" w:ascii="宋体" w:hAnsi="宋体"/>
                <w:sz w:val="28"/>
                <w:szCs w:val="28"/>
              </w:rPr>
              <w:t>省二等</w:t>
            </w:r>
          </w:p>
        </w:tc>
        <w:tc>
          <w:tcPr>
            <w:tcW w:w="2145" w:type="dxa"/>
            <w:vAlign w:val="center"/>
          </w:tcPr>
          <w:p>
            <w:pPr>
              <w:spacing w:line="500" w:lineRule="exact"/>
              <w:jc w:val="center"/>
              <w:rPr>
                <w:rFonts w:hint="eastAsia" w:ascii="宋体" w:hAnsi="宋体"/>
                <w:sz w:val="28"/>
                <w:szCs w:val="28"/>
              </w:rPr>
            </w:pPr>
            <w:r>
              <w:rPr>
                <w:rFonts w:hint="eastAsia" w:ascii="宋体" w:hAnsi="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85" w:type="dxa"/>
            <w:vMerge w:val="restart"/>
            <w:vAlign w:val="center"/>
          </w:tcPr>
          <w:p>
            <w:pPr>
              <w:spacing w:line="500" w:lineRule="exact"/>
              <w:jc w:val="center"/>
              <w:rPr>
                <w:rFonts w:hint="eastAsia" w:ascii="宋体" w:hAnsi="宋体"/>
                <w:sz w:val="28"/>
                <w:szCs w:val="28"/>
              </w:rPr>
            </w:pPr>
            <w:r>
              <w:rPr>
                <w:rFonts w:hint="eastAsia" w:ascii="宋体" w:hAnsi="宋体"/>
                <w:sz w:val="28"/>
                <w:szCs w:val="28"/>
              </w:rPr>
              <w:t>电子设计竞赛</w:t>
            </w:r>
          </w:p>
        </w:tc>
        <w:tc>
          <w:tcPr>
            <w:tcW w:w="2176" w:type="dxa"/>
            <w:vAlign w:val="center"/>
          </w:tcPr>
          <w:p>
            <w:pPr>
              <w:spacing w:line="500" w:lineRule="exact"/>
              <w:jc w:val="center"/>
              <w:rPr>
                <w:rFonts w:hint="eastAsia" w:ascii="宋体" w:hAnsi="宋体"/>
                <w:sz w:val="28"/>
                <w:szCs w:val="28"/>
              </w:rPr>
            </w:pPr>
            <w:r>
              <w:rPr>
                <w:rFonts w:hint="eastAsia" w:ascii="宋体" w:hAnsi="宋体"/>
                <w:sz w:val="28"/>
                <w:szCs w:val="28"/>
              </w:rPr>
              <w:t>国家级</w:t>
            </w:r>
          </w:p>
        </w:tc>
        <w:tc>
          <w:tcPr>
            <w:tcW w:w="2145" w:type="dxa"/>
            <w:vAlign w:val="center"/>
          </w:tcPr>
          <w:p>
            <w:pPr>
              <w:spacing w:line="500" w:lineRule="exact"/>
              <w:jc w:val="center"/>
              <w:rPr>
                <w:rFonts w:hint="eastAsia" w:ascii="宋体" w:hAnsi="宋体"/>
                <w:sz w:val="28"/>
                <w:szCs w:val="28"/>
              </w:rPr>
            </w:pPr>
            <w:r>
              <w:rPr>
                <w:rFonts w:hint="eastAsia" w:ascii="宋体" w:hAnsi="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85" w:type="dxa"/>
            <w:vMerge w:val="continue"/>
            <w:vAlign w:val="center"/>
          </w:tcPr>
          <w:p>
            <w:pPr>
              <w:spacing w:line="500" w:lineRule="exact"/>
              <w:jc w:val="center"/>
              <w:rPr>
                <w:rFonts w:hint="eastAsia" w:ascii="宋体" w:hAnsi="宋体"/>
                <w:sz w:val="28"/>
                <w:szCs w:val="28"/>
              </w:rPr>
            </w:pPr>
          </w:p>
        </w:tc>
        <w:tc>
          <w:tcPr>
            <w:tcW w:w="2176" w:type="dxa"/>
            <w:vAlign w:val="center"/>
          </w:tcPr>
          <w:p>
            <w:pPr>
              <w:spacing w:line="500" w:lineRule="exact"/>
              <w:jc w:val="center"/>
              <w:rPr>
                <w:rFonts w:hint="eastAsia" w:ascii="宋体" w:hAnsi="宋体"/>
                <w:sz w:val="28"/>
                <w:szCs w:val="28"/>
              </w:rPr>
            </w:pPr>
            <w:r>
              <w:rPr>
                <w:rFonts w:hint="eastAsia" w:ascii="宋体" w:hAnsi="宋体"/>
                <w:sz w:val="28"/>
                <w:szCs w:val="28"/>
              </w:rPr>
              <w:t>省一等</w:t>
            </w:r>
          </w:p>
        </w:tc>
        <w:tc>
          <w:tcPr>
            <w:tcW w:w="2145" w:type="dxa"/>
            <w:vAlign w:val="center"/>
          </w:tcPr>
          <w:p>
            <w:pPr>
              <w:spacing w:line="500" w:lineRule="exact"/>
              <w:jc w:val="center"/>
              <w:rPr>
                <w:rFonts w:hint="eastAsia" w:ascii="宋体" w:hAnsi="宋体"/>
                <w:sz w:val="28"/>
                <w:szCs w:val="28"/>
              </w:rPr>
            </w:pPr>
            <w:r>
              <w:rPr>
                <w:rFonts w:hint="eastAsia" w:ascii="宋体" w:hAnsi="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85" w:type="dxa"/>
            <w:vMerge w:val="continue"/>
            <w:vAlign w:val="center"/>
          </w:tcPr>
          <w:p>
            <w:pPr>
              <w:spacing w:line="500" w:lineRule="exact"/>
              <w:jc w:val="center"/>
              <w:rPr>
                <w:rFonts w:hint="eastAsia" w:ascii="宋体" w:hAnsi="宋体"/>
                <w:sz w:val="28"/>
                <w:szCs w:val="28"/>
              </w:rPr>
            </w:pPr>
          </w:p>
        </w:tc>
        <w:tc>
          <w:tcPr>
            <w:tcW w:w="2176" w:type="dxa"/>
            <w:vAlign w:val="center"/>
          </w:tcPr>
          <w:p>
            <w:pPr>
              <w:spacing w:line="500" w:lineRule="exact"/>
              <w:jc w:val="center"/>
              <w:rPr>
                <w:rFonts w:hint="eastAsia" w:ascii="宋体" w:hAnsi="宋体"/>
                <w:sz w:val="28"/>
                <w:szCs w:val="28"/>
              </w:rPr>
            </w:pPr>
            <w:r>
              <w:rPr>
                <w:rFonts w:hint="eastAsia" w:ascii="宋体" w:hAnsi="宋体"/>
                <w:sz w:val="28"/>
                <w:szCs w:val="28"/>
              </w:rPr>
              <w:t>省二等</w:t>
            </w:r>
          </w:p>
        </w:tc>
        <w:tc>
          <w:tcPr>
            <w:tcW w:w="2145" w:type="dxa"/>
            <w:vAlign w:val="center"/>
          </w:tcPr>
          <w:p>
            <w:pPr>
              <w:spacing w:line="500" w:lineRule="exact"/>
              <w:jc w:val="center"/>
              <w:rPr>
                <w:rFonts w:hint="eastAsia" w:ascii="宋体" w:hAnsi="宋体"/>
                <w:sz w:val="28"/>
                <w:szCs w:val="28"/>
              </w:rPr>
            </w:pPr>
            <w:r>
              <w:rPr>
                <w:rFonts w:hint="eastAsia" w:ascii="宋体" w:hAnsi="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85" w:type="dxa"/>
            <w:vAlign w:val="center"/>
          </w:tcPr>
          <w:p>
            <w:pPr>
              <w:spacing w:line="500" w:lineRule="exact"/>
              <w:jc w:val="center"/>
              <w:rPr>
                <w:rFonts w:hint="eastAsia" w:ascii="宋体" w:hAnsi="宋体"/>
                <w:sz w:val="28"/>
                <w:szCs w:val="28"/>
              </w:rPr>
            </w:pPr>
            <w:r>
              <w:rPr>
                <w:rFonts w:hint="eastAsia" w:ascii="宋体" w:hAnsi="宋体"/>
                <w:sz w:val="28"/>
                <w:szCs w:val="28"/>
              </w:rPr>
              <w:t>CET-4</w:t>
            </w:r>
          </w:p>
          <w:p>
            <w:pPr>
              <w:spacing w:line="500" w:lineRule="exact"/>
              <w:jc w:val="center"/>
              <w:rPr>
                <w:rFonts w:hint="eastAsia" w:ascii="宋体" w:hAnsi="宋体"/>
                <w:sz w:val="28"/>
                <w:szCs w:val="28"/>
              </w:rPr>
            </w:pPr>
            <w:r>
              <w:rPr>
                <w:rFonts w:hint="eastAsia" w:ascii="宋体" w:hAnsi="宋体"/>
                <w:sz w:val="28"/>
                <w:szCs w:val="28"/>
              </w:rPr>
              <w:t>（英语专业学生CET-6）</w:t>
            </w:r>
          </w:p>
        </w:tc>
        <w:tc>
          <w:tcPr>
            <w:tcW w:w="2176" w:type="dxa"/>
            <w:vAlign w:val="center"/>
          </w:tcPr>
          <w:p>
            <w:pPr>
              <w:spacing w:line="500" w:lineRule="exact"/>
              <w:jc w:val="center"/>
              <w:rPr>
                <w:rFonts w:hint="eastAsia" w:ascii="宋体" w:hAnsi="宋体"/>
                <w:sz w:val="28"/>
                <w:szCs w:val="28"/>
              </w:rPr>
            </w:pPr>
            <w:r>
              <w:rPr>
                <w:rFonts w:hint="eastAsia" w:ascii="宋体" w:hAnsi="宋体"/>
                <w:sz w:val="28"/>
                <w:szCs w:val="28"/>
              </w:rPr>
              <w:t>合格</w:t>
            </w:r>
          </w:p>
        </w:tc>
        <w:tc>
          <w:tcPr>
            <w:tcW w:w="2145" w:type="dxa"/>
            <w:vAlign w:val="center"/>
          </w:tcPr>
          <w:p>
            <w:pPr>
              <w:spacing w:line="500" w:lineRule="exact"/>
              <w:jc w:val="center"/>
              <w:rPr>
                <w:rFonts w:hint="eastAsia" w:ascii="宋体" w:hAnsi="宋体"/>
                <w:sz w:val="28"/>
                <w:szCs w:val="28"/>
              </w:rPr>
            </w:pPr>
            <w:r>
              <w:rPr>
                <w:rFonts w:hint="eastAsia" w:ascii="宋体" w:hAnsi="宋体"/>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85" w:type="dxa"/>
            <w:vAlign w:val="center"/>
          </w:tcPr>
          <w:p>
            <w:pPr>
              <w:widowControl/>
              <w:spacing w:line="500" w:lineRule="exact"/>
              <w:jc w:val="center"/>
              <w:rPr>
                <w:rFonts w:hint="eastAsia" w:ascii="宋体" w:hAnsi="宋体" w:cs="宋体"/>
                <w:kern w:val="0"/>
                <w:sz w:val="28"/>
                <w:szCs w:val="28"/>
              </w:rPr>
            </w:pPr>
            <w:r>
              <w:rPr>
                <w:rFonts w:hint="eastAsia" w:ascii="宋体" w:hAnsi="宋体" w:cs="宋体"/>
                <w:kern w:val="0"/>
                <w:sz w:val="28"/>
                <w:szCs w:val="28"/>
              </w:rPr>
              <w:t>全国或省计算机二级</w:t>
            </w:r>
          </w:p>
          <w:p>
            <w:pPr>
              <w:spacing w:line="500" w:lineRule="exact"/>
              <w:jc w:val="center"/>
              <w:rPr>
                <w:rFonts w:hint="eastAsia" w:ascii="宋体" w:hAnsi="宋体"/>
                <w:sz w:val="28"/>
                <w:szCs w:val="28"/>
              </w:rPr>
            </w:pPr>
            <w:r>
              <w:rPr>
                <w:rFonts w:hint="eastAsia" w:ascii="宋体" w:hAnsi="宋体" w:cs="宋体"/>
                <w:kern w:val="0"/>
                <w:sz w:val="28"/>
                <w:szCs w:val="28"/>
              </w:rPr>
              <w:t>（非计算机专业）</w:t>
            </w:r>
          </w:p>
        </w:tc>
        <w:tc>
          <w:tcPr>
            <w:tcW w:w="2176" w:type="dxa"/>
            <w:vAlign w:val="center"/>
          </w:tcPr>
          <w:p>
            <w:pPr>
              <w:spacing w:line="500" w:lineRule="exact"/>
              <w:jc w:val="center"/>
              <w:rPr>
                <w:rFonts w:hint="eastAsia" w:ascii="宋体" w:hAnsi="宋体"/>
                <w:sz w:val="28"/>
                <w:szCs w:val="28"/>
              </w:rPr>
            </w:pPr>
            <w:r>
              <w:rPr>
                <w:rFonts w:hint="eastAsia" w:ascii="宋体" w:hAnsi="宋体"/>
                <w:sz w:val="28"/>
                <w:szCs w:val="28"/>
              </w:rPr>
              <w:t>证书</w:t>
            </w:r>
          </w:p>
        </w:tc>
        <w:tc>
          <w:tcPr>
            <w:tcW w:w="2145" w:type="dxa"/>
            <w:vAlign w:val="center"/>
          </w:tcPr>
          <w:p>
            <w:pPr>
              <w:spacing w:line="500" w:lineRule="exact"/>
              <w:jc w:val="center"/>
              <w:rPr>
                <w:rFonts w:hint="eastAsia" w:ascii="宋体" w:hAnsi="宋体"/>
                <w:sz w:val="28"/>
                <w:szCs w:val="28"/>
              </w:rPr>
            </w:pPr>
            <w:r>
              <w:rPr>
                <w:rFonts w:hint="eastAsia" w:ascii="宋体" w:hAnsi="宋体"/>
                <w:sz w:val="28"/>
                <w:szCs w:val="28"/>
              </w:rPr>
              <w:t>1.5</w:t>
            </w:r>
          </w:p>
        </w:tc>
      </w:tr>
    </w:tbl>
    <w:p>
      <w:pPr>
        <w:spacing w:line="500" w:lineRule="exact"/>
        <w:ind w:firstLine="560" w:firstLineChars="200"/>
        <w:rPr>
          <w:rFonts w:hint="eastAsia" w:ascii="宋体" w:hAnsi="宋体"/>
          <w:sz w:val="28"/>
          <w:szCs w:val="28"/>
        </w:rPr>
      </w:pPr>
      <w:r>
        <w:rPr>
          <w:rFonts w:hint="eastAsia" w:ascii="宋体" w:hAnsi="宋体"/>
          <w:sz w:val="28"/>
          <w:szCs w:val="28"/>
        </w:rPr>
        <w:t>四、“专升本”学生入学须知</w:t>
      </w:r>
    </w:p>
    <w:p>
      <w:pPr>
        <w:spacing w:line="500" w:lineRule="exact"/>
        <w:ind w:firstLine="560" w:firstLineChars="200"/>
        <w:rPr>
          <w:rFonts w:hint="eastAsia" w:ascii="宋体" w:hAnsi="宋体"/>
          <w:sz w:val="28"/>
          <w:szCs w:val="28"/>
        </w:rPr>
      </w:pPr>
      <w:r>
        <w:rPr>
          <w:rFonts w:hint="eastAsia" w:ascii="宋体" w:hAnsi="宋体"/>
          <w:sz w:val="28"/>
          <w:szCs w:val="28"/>
        </w:rPr>
        <w:t>1．按教育部教学[2002]15号《关于当前加强高等学校学历证书规范管理的通知》、川教函</w:t>
      </w:r>
      <w:r>
        <w:rPr>
          <w:rFonts w:ascii="宋体" w:hAnsi="宋体"/>
          <w:sz w:val="28"/>
          <w:szCs w:val="28"/>
        </w:rPr>
        <w:t>[</w:t>
      </w:r>
      <w:r>
        <w:rPr>
          <w:rFonts w:hint="eastAsia" w:ascii="宋体" w:hAnsi="宋体"/>
          <w:sz w:val="28"/>
          <w:szCs w:val="28"/>
        </w:rPr>
        <w:t>2003</w:t>
      </w:r>
      <w:r>
        <w:rPr>
          <w:rFonts w:ascii="宋体" w:hAnsi="宋体"/>
          <w:sz w:val="28"/>
          <w:szCs w:val="28"/>
        </w:rPr>
        <w:t>]</w:t>
      </w:r>
      <w:r>
        <w:rPr>
          <w:rFonts w:hint="eastAsia" w:ascii="宋体" w:hAnsi="宋体"/>
          <w:sz w:val="28"/>
          <w:szCs w:val="28"/>
        </w:rPr>
        <w:t>216号《四川省教育厅关于进一步规范高等教育学历证书管理的通知》和2007年教育部《高校学生获得学籍及毕业证书政策告知》的相关要求，毕业时符合毕业条件的发给毕业证书，且毕业证书填写为“在本校XX专业专科起点本科学习”，学习时间按升入本科实际时间填写。符合学校授予学位条件者，授予学士学位。</w:t>
      </w:r>
    </w:p>
    <w:p>
      <w:pPr>
        <w:spacing w:line="500" w:lineRule="exact"/>
        <w:ind w:firstLine="560" w:firstLineChars="200"/>
        <w:rPr>
          <w:rFonts w:hint="eastAsia" w:ascii="宋体" w:hAnsi="宋体"/>
          <w:sz w:val="28"/>
          <w:szCs w:val="28"/>
        </w:rPr>
      </w:pPr>
      <w:r>
        <w:rPr>
          <w:rFonts w:hint="eastAsia" w:ascii="宋体" w:hAnsi="宋体"/>
          <w:sz w:val="28"/>
          <w:szCs w:val="28"/>
        </w:rPr>
        <w:t>2．按省教育厅川教函[2018]178号文件精神，对专科应届毕业生“专升本”新生的学分认定，原则上不得低于该专业学生毕业时应修总学分的40%。根据西华教字[2012]75号文件精神，升入我校本科学习的学生，专科阶段所修全部课程学分认定为升本专业毕业时应修总学分的44%左右。</w:t>
      </w:r>
    </w:p>
    <w:p>
      <w:pPr>
        <w:spacing w:line="500" w:lineRule="exact"/>
        <w:ind w:left="1" w:firstLine="560" w:firstLineChars="200"/>
        <w:rPr>
          <w:rFonts w:hint="eastAsia" w:ascii="宋体" w:hAnsi="宋体"/>
          <w:sz w:val="28"/>
          <w:szCs w:val="28"/>
        </w:rPr>
      </w:pPr>
      <w:r>
        <w:rPr>
          <w:rFonts w:hint="eastAsia" w:ascii="宋体" w:hAnsi="宋体"/>
          <w:sz w:val="28"/>
          <w:szCs w:val="28"/>
        </w:rPr>
        <w:t>3．按川教函[2018]178号文《四川省教育厅关于2018普通高等学校选拔优秀专科毕业生进入本科阶段学习的通知》的文件精神，“专升本”学生录取后由原所在学校颁发专科毕业证书并进行电子注册，不再向其发放毕业学生报到证。“专升本”学生在录取学校新学期入学报到时，须提供教育部电子注册的专科毕业证书，否则将取消“专升本”入学资格。其它相关的学籍管理、电子注册及毕业证书的发放按照教育部的有关规定执行。</w:t>
      </w:r>
    </w:p>
    <w:p>
      <w:pPr>
        <w:spacing w:line="500" w:lineRule="exact"/>
        <w:ind w:left="1" w:firstLine="560" w:firstLineChars="200"/>
        <w:rPr>
          <w:rFonts w:hint="eastAsia" w:ascii="宋体" w:hAnsi="宋体"/>
          <w:sz w:val="28"/>
          <w:szCs w:val="28"/>
        </w:rPr>
      </w:pPr>
      <w:r>
        <w:rPr>
          <w:rFonts w:hint="eastAsia" w:ascii="宋体" w:hAnsi="宋体"/>
          <w:sz w:val="28"/>
          <w:szCs w:val="28"/>
        </w:rPr>
        <w:t>4．“专升本”学生按升入的同年级和同专业学生缴费标准交纳费用。</w:t>
      </w:r>
    </w:p>
    <w:p>
      <w:pPr>
        <w:spacing w:line="500" w:lineRule="exact"/>
        <w:ind w:left="1" w:firstLine="560" w:firstLineChars="200"/>
        <w:rPr>
          <w:rFonts w:hint="eastAsia" w:ascii="宋体" w:hAnsi="宋体"/>
          <w:sz w:val="28"/>
          <w:szCs w:val="28"/>
        </w:rPr>
      </w:pPr>
      <w:r>
        <w:rPr>
          <w:rFonts w:hint="eastAsia" w:ascii="宋体" w:hAnsi="宋体"/>
          <w:sz w:val="28"/>
          <w:szCs w:val="28"/>
        </w:rPr>
        <w:t>5．“专升本”学生就读校区。专升本学生就读校区必须服从学校统一安排，原则上成建制的专业就读于彭州校区，不成建制的专业插班就读于校本部。</w:t>
      </w:r>
    </w:p>
    <w:p>
      <w:pPr>
        <w:spacing w:line="500" w:lineRule="exact"/>
        <w:ind w:firstLine="560" w:firstLineChars="200"/>
        <w:rPr>
          <w:rFonts w:hint="eastAsia" w:ascii="宋体" w:hAnsi="宋体"/>
          <w:sz w:val="28"/>
          <w:szCs w:val="28"/>
        </w:rPr>
      </w:pPr>
      <w:r>
        <w:rPr>
          <w:rFonts w:hint="eastAsia" w:ascii="宋体" w:hAnsi="宋体"/>
          <w:sz w:val="28"/>
          <w:szCs w:val="28"/>
        </w:rPr>
        <w:t>五、取消录取资格规定</w:t>
      </w:r>
    </w:p>
    <w:p>
      <w:pPr>
        <w:spacing w:line="500" w:lineRule="exact"/>
        <w:ind w:firstLine="560" w:firstLineChars="200"/>
        <w:rPr>
          <w:rFonts w:hint="eastAsia" w:ascii="宋体" w:hAnsi="宋体"/>
          <w:sz w:val="28"/>
          <w:szCs w:val="28"/>
        </w:rPr>
      </w:pPr>
      <w:r>
        <w:rPr>
          <w:rFonts w:hint="eastAsia" w:ascii="宋体" w:hAnsi="宋体"/>
          <w:sz w:val="28"/>
          <w:szCs w:val="28"/>
        </w:rPr>
        <w:t>1．在公示学生名单中，若发现有不符合省教育厅及学校“专升本”文件精神者，学校取消其“专升本”资格；</w:t>
      </w:r>
    </w:p>
    <w:p>
      <w:pPr>
        <w:spacing w:line="500" w:lineRule="exact"/>
        <w:ind w:firstLine="570"/>
        <w:rPr>
          <w:rFonts w:hint="eastAsia" w:ascii="宋体" w:hAnsi="宋体"/>
          <w:sz w:val="28"/>
          <w:szCs w:val="28"/>
        </w:rPr>
      </w:pPr>
      <w:r>
        <w:rPr>
          <w:rFonts w:hint="eastAsia" w:ascii="宋体" w:hAnsi="宋体"/>
          <w:sz w:val="28"/>
          <w:szCs w:val="28"/>
        </w:rPr>
        <w:t>2．在公示学生名单中，若有本期课程首次考核不合格者，学校取消其“专升本”资格；</w:t>
      </w:r>
    </w:p>
    <w:p>
      <w:pPr>
        <w:spacing w:line="500" w:lineRule="exact"/>
        <w:ind w:firstLine="570"/>
        <w:rPr>
          <w:rFonts w:ascii="仿宋_GB2312" w:hAnsi="宋体" w:eastAsia="仿宋_GB2312"/>
          <w:sz w:val="30"/>
          <w:szCs w:val="30"/>
        </w:rPr>
      </w:pPr>
      <w:r>
        <w:rPr>
          <w:rFonts w:hint="eastAsia" w:ascii="宋体" w:hAnsi="宋体"/>
          <w:sz w:val="28"/>
          <w:szCs w:val="28"/>
        </w:rPr>
        <w:t>3. 对取消专升本资格的名额，不实行顺序递补。</w:t>
      </w:r>
    </w:p>
    <w:p>
      <w:pPr>
        <w:spacing w:line="500" w:lineRule="exact"/>
        <w:ind w:firstLine="600"/>
        <w:rPr>
          <w:rFonts w:hint="eastAsia" w:ascii="宋体" w:hAnsi="宋体"/>
          <w:sz w:val="28"/>
          <w:szCs w:val="28"/>
        </w:rPr>
      </w:pPr>
      <w:r>
        <w:rPr>
          <w:rFonts w:hint="eastAsia" w:ascii="宋体" w:hAnsi="宋体"/>
          <w:sz w:val="28"/>
          <w:szCs w:val="28"/>
        </w:rPr>
        <w:t>六、“专升本”计划学生人数。专科毕业学生升入本科的专科生计划数控制在“应届毕业生总数的6%以内”，专科毕业生人数见下表（专升本专业以上报四川省教育厅审核批准下达的正式计划专业为准）：</w:t>
      </w:r>
    </w:p>
    <w:tbl>
      <w:tblPr>
        <w:tblStyle w:val="4"/>
        <w:tblW w:w="91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15"/>
        <w:gridCol w:w="2024"/>
        <w:gridCol w:w="1755"/>
        <w:gridCol w:w="2219"/>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专科专业代码</w:t>
            </w:r>
          </w:p>
        </w:tc>
        <w:tc>
          <w:tcPr>
            <w:tcW w:w="2024"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专科专业名称</w:t>
            </w:r>
          </w:p>
        </w:tc>
        <w:tc>
          <w:tcPr>
            <w:tcW w:w="175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专科毕业生人数</w:t>
            </w:r>
          </w:p>
        </w:tc>
        <w:tc>
          <w:tcPr>
            <w:tcW w:w="2219"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本科专业</w:t>
            </w:r>
          </w:p>
        </w:tc>
        <w:tc>
          <w:tcPr>
            <w:tcW w:w="163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660102</w:t>
            </w: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应用英语</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278</w:t>
            </w:r>
          </w:p>
        </w:tc>
        <w:tc>
          <w:tcPr>
            <w:tcW w:w="2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英语</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660305</w:t>
            </w: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体育服务与管理</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w:t>
            </w:r>
          </w:p>
        </w:tc>
        <w:tc>
          <w:tcPr>
            <w:tcW w:w="2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体育教育</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620505</w:t>
            </w: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物流管理</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194</w:t>
            </w:r>
          </w:p>
        </w:tc>
        <w:tc>
          <w:tcPr>
            <w:tcW w:w="2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物流管理</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620501</w:t>
            </w: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工商企业管理</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w:t>
            </w:r>
          </w:p>
        </w:tc>
        <w:tc>
          <w:tcPr>
            <w:tcW w:w="2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工商管理</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650204</w:t>
            </w: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人力资源管理</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2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人力资源管理</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520304</w:t>
            </w: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城市轨道交通运营管理</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w:t>
            </w:r>
          </w:p>
        </w:tc>
        <w:tc>
          <w:tcPr>
            <w:tcW w:w="2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520504</w:t>
            </w: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航空服务</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2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520503</w:t>
            </w: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空中乘务</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2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工程机械运用与维护</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2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机械设计制造及其自动化</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560106</w:t>
            </w:r>
          </w:p>
        </w:tc>
        <w:tc>
          <w:tcPr>
            <w:tcW w:w="2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园林工程技术</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风景园林</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bl>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54BBC"/>
    <w:rsid w:val="23CD1045"/>
    <w:rsid w:val="3F854BB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b/>
      <w:sz w:val="36"/>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l\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2018-05-04T06:28:00Z</dcterms:created>
  <dc:creator>zhl</dc:creator>
  <cp:lastModifiedBy>zhl</cp:lastModifiedBy>
  <dcterms:modified xsi:type="dcterms:W3CDTF">2018-05-04T06:33:10Z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